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176" w:rsidRDefault="00282350">
      <w:pPr>
        <w:pStyle w:val="Heading1"/>
      </w:pPr>
      <w:bookmarkStart w:id="0" w:name="_Toc357771638"/>
      <w:bookmarkStart w:id="1" w:name="_Toc346793416"/>
      <w:bookmarkStart w:id="2" w:name="_Toc328122777"/>
      <w:bookmarkStart w:id="3" w:name="_GoBack"/>
      <w:bookmarkEnd w:id="3"/>
      <w:r>
        <w:rPr>
          <w:sz w:val="32"/>
          <w:szCs w:val="32"/>
        </w:rPr>
        <w:t>Pupil premium strategy statement – November 2020</w:t>
      </w:r>
      <w:r>
        <w:rPr>
          <w:sz w:val="24"/>
        </w:rPr>
        <w:tab/>
      </w:r>
    </w:p>
    <w:p w:rsidR="00721176" w:rsidRDefault="00282350">
      <w:pPr>
        <w:pStyle w:val="Heading2"/>
        <w:rPr>
          <w:sz w:val="24"/>
          <w:szCs w:val="24"/>
        </w:rPr>
      </w:pPr>
      <w:bookmarkStart w:id="4" w:name="_Toc385406061"/>
      <w:bookmarkEnd w:id="0"/>
      <w:bookmarkEnd w:id="1"/>
      <w:bookmarkEnd w:id="2"/>
      <w:r>
        <w:rPr>
          <w:sz w:val="24"/>
          <w:szCs w:val="24"/>
        </w:rPr>
        <w:t>School overview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4"/>
        <w:gridCol w:w="3969"/>
      </w:tblGrid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b/>
              </w:rPr>
            </w:pPr>
            <w:r>
              <w:rPr>
                <w:b/>
              </w:rPr>
              <w:t>Metric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ind w:left="0"/>
            </w:pPr>
            <w:r>
              <w:t xml:space="preserve"> School name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>Kenton School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Pupils in school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color w:val="000000"/>
                <w:shd w:val="clear" w:color="auto" w:fill="FFFF00"/>
              </w:rPr>
            </w:pPr>
            <w:r>
              <w:rPr>
                <w:color w:val="000000"/>
                <w:shd w:val="clear" w:color="auto" w:fill="FFFF00"/>
              </w:rPr>
              <w:t>1565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rFonts w:eastAsia="Arial" w:cs="Arial"/>
                <w:shd w:val="clear" w:color="auto" w:fill="FFFF00"/>
              </w:rPr>
            </w:pPr>
            <w:r>
              <w:rPr>
                <w:rFonts w:eastAsia="Arial" w:cs="Arial"/>
                <w:shd w:val="clear" w:color="auto" w:fill="FFFF00"/>
              </w:rPr>
              <w:t>Proportion of disadvantaged pupils (Y7-11)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rFonts w:eastAsia="Arial" w:cs="Arial"/>
                <w:color w:val="000000"/>
                <w:shd w:val="clear" w:color="auto" w:fill="FFFF00"/>
              </w:rPr>
            </w:pPr>
            <w:r>
              <w:rPr>
                <w:rFonts w:eastAsia="Arial" w:cs="Arial"/>
                <w:color w:val="000000"/>
                <w:shd w:val="clear" w:color="auto" w:fill="FFFF00"/>
              </w:rPr>
              <w:t>54.9%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rFonts w:eastAsia="Arial" w:cs="Arial"/>
              </w:rPr>
            </w:pPr>
            <w:r>
              <w:rPr>
                <w:rFonts w:eastAsia="Arial" w:cs="Arial"/>
              </w:rPr>
              <w:t>Pupil premium allocation this academic year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Fonts w:eastAsia="Arial" w:cs="Arial"/>
                <w:color w:val="000000"/>
              </w:rPr>
              <w:t>£788,830 (826 pupils)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t>Academic year or years covered by statement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>2019-2022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t>Publish date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>November 2020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t>Review date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>October 2021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t>Statement authorised by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>Ross Scherer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t>Pupil premium lead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>Sarah Rice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t xml:space="preserve">Governor </w:t>
            </w:r>
            <w:r>
              <w:t>lead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>Stephen Lonsdale</w:t>
            </w:r>
          </w:p>
        </w:tc>
      </w:tr>
    </w:tbl>
    <w:p w:rsidR="00721176" w:rsidRDefault="00282350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Disadvantaged pupil performance overview for last academic year (2019/2020)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7"/>
        <w:gridCol w:w="2665"/>
        <w:gridCol w:w="2131"/>
        <w:gridCol w:w="2120"/>
      </w:tblGrid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176" w:rsidRDefault="00282350">
            <w:pPr>
              <w:pStyle w:val="TableRow"/>
            </w:pPr>
            <w:r>
              <w:rPr>
                <w:rFonts w:cs="Calibri"/>
              </w:rPr>
              <w:t>Progress 8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jc w:val="center"/>
            </w:pPr>
            <w:r>
              <w:t>Overall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1176" w:rsidRDefault="00282350">
            <w:pPr>
              <w:pStyle w:val="TableRow"/>
              <w:jc w:val="center"/>
            </w:pPr>
            <w:r>
              <w:t>English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1176" w:rsidRDefault="00282350">
            <w:pPr>
              <w:pStyle w:val="TableRow"/>
              <w:jc w:val="center"/>
            </w:pPr>
            <w:r>
              <w:t>Maths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176" w:rsidRDefault="00721176">
            <w:pPr>
              <w:pStyle w:val="TableRow"/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jc w:val="center"/>
            </w:pPr>
            <w:r>
              <w:t>-0.86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1176" w:rsidRDefault="00282350">
            <w:pPr>
              <w:pStyle w:val="TableRow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-1.04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1176" w:rsidRDefault="00282350">
            <w:pPr>
              <w:pStyle w:val="TableRow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-0.58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rFonts w:cs="Calibri"/>
              </w:rPr>
            </w:pPr>
            <w:r>
              <w:rPr>
                <w:rFonts w:cs="Calibri"/>
              </w:rPr>
              <w:t xml:space="preserve">EBACC entry </w:t>
            </w:r>
          </w:p>
        </w:tc>
        <w:tc>
          <w:tcPr>
            <w:tcW w:w="6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18.9%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rFonts w:cs="Calibri"/>
              </w:rPr>
            </w:pPr>
            <w:r>
              <w:rPr>
                <w:rFonts w:cs="Calibri"/>
              </w:rPr>
              <w:t>Attainment 8</w:t>
            </w:r>
          </w:p>
        </w:tc>
        <w:tc>
          <w:tcPr>
            <w:tcW w:w="6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jc w:val="center"/>
            </w:pPr>
            <w:r>
              <w:t>34.42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176" w:rsidRDefault="00282350">
            <w:pPr>
              <w:pStyle w:val="TableRow"/>
              <w:rPr>
                <w:rFonts w:cs="Calibri"/>
              </w:rPr>
            </w:pPr>
            <w:r>
              <w:rPr>
                <w:rFonts w:cs="Calibri"/>
              </w:rPr>
              <w:t xml:space="preserve">Percentage of Grade 5+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Combined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1176" w:rsidRDefault="00282350">
            <w:pPr>
              <w:pStyle w:val="TableRow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English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1176" w:rsidRDefault="00282350">
            <w:pPr>
              <w:pStyle w:val="TableRow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Maths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176" w:rsidRDefault="00721176">
            <w:pPr>
              <w:pStyle w:val="TableRow"/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jc w:val="center"/>
            </w:pPr>
            <w:r>
              <w:t>23.6%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1176" w:rsidRDefault="00282350">
            <w:pPr>
              <w:pStyle w:val="TableRow"/>
              <w:jc w:val="center"/>
            </w:pPr>
            <w:r>
              <w:t>39.2%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1176" w:rsidRDefault="00282350">
            <w:pPr>
              <w:pStyle w:val="TableRow"/>
              <w:jc w:val="center"/>
            </w:pPr>
            <w:r>
              <w:t>27.7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176" w:rsidRDefault="00282350">
            <w:pPr>
              <w:pStyle w:val="TableRow"/>
              <w:rPr>
                <w:rFonts w:cs="Calibri"/>
              </w:rPr>
            </w:pPr>
            <w:r>
              <w:rPr>
                <w:rFonts w:cs="Calibri"/>
              </w:rPr>
              <w:t>Percentage of Grade 4+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jc w:val="center"/>
            </w:pPr>
            <w:r>
              <w:rPr>
                <w:shd w:val="clear" w:color="auto" w:fill="FFFF00"/>
              </w:rPr>
              <w:t>Combined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1176" w:rsidRDefault="00282350">
            <w:pPr>
              <w:pStyle w:val="TableRow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English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1176" w:rsidRDefault="00282350">
            <w:pPr>
              <w:pStyle w:val="TableRow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Maths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176" w:rsidRDefault="00721176">
            <w:pPr>
              <w:pStyle w:val="TableRow"/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40.5%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1176" w:rsidRDefault="00282350">
            <w:pPr>
              <w:pStyle w:val="TableRow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52.7%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1176" w:rsidRDefault="00282350">
            <w:pPr>
              <w:pStyle w:val="TableRow"/>
              <w:jc w:val="center"/>
            </w:pPr>
            <w:r>
              <w:t>45.3%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rFonts w:cs="Calibri"/>
              </w:rPr>
            </w:pPr>
            <w:r>
              <w:rPr>
                <w:rFonts w:cs="Calibri"/>
              </w:rPr>
              <w:t>Attendance</w:t>
            </w:r>
          </w:p>
        </w:tc>
        <w:tc>
          <w:tcPr>
            <w:tcW w:w="6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All – 90.4%, PP = 86.46%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rFonts w:cs="Calibri"/>
              </w:rPr>
            </w:pPr>
            <w:r>
              <w:rPr>
                <w:rFonts w:cs="Calibri"/>
              </w:rPr>
              <w:t>Persistent Absence (&lt;90% attendance)</w:t>
            </w:r>
          </w:p>
        </w:tc>
        <w:tc>
          <w:tcPr>
            <w:tcW w:w="6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jc w:val="center"/>
              <w:rPr>
                <w:color w:val="000000"/>
                <w:shd w:val="clear" w:color="auto" w:fill="FFFF00"/>
              </w:rPr>
            </w:pPr>
            <w:r>
              <w:rPr>
                <w:color w:val="000000"/>
                <w:shd w:val="clear" w:color="auto" w:fill="FFFF00"/>
              </w:rPr>
              <w:t>All = 28.55%, of whom 58.9% were PP</w:t>
            </w:r>
          </w:p>
        </w:tc>
      </w:tr>
    </w:tbl>
    <w:p w:rsidR="00721176" w:rsidRDefault="00721176">
      <w:pPr>
        <w:pStyle w:val="Heading2"/>
        <w:rPr>
          <w:sz w:val="24"/>
          <w:szCs w:val="24"/>
        </w:rPr>
      </w:pPr>
    </w:p>
    <w:p w:rsidR="00721176" w:rsidRDefault="00721176">
      <w:pPr>
        <w:pageBreakBefore/>
        <w:suppressAutoHyphens w:val="0"/>
        <w:spacing w:after="0" w:line="240" w:lineRule="auto"/>
      </w:pPr>
    </w:p>
    <w:p w:rsidR="00721176" w:rsidRDefault="00282350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Strategy aims for disadvantaged pupils 2019-2022</w:t>
      </w:r>
    </w:p>
    <w:tbl>
      <w:tblPr>
        <w:tblW w:w="9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3945"/>
        <w:gridCol w:w="2994"/>
      </w:tblGrid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3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29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b/>
              </w:rPr>
            </w:pPr>
            <w:r>
              <w:rPr>
                <w:b/>
              </w:rPr>
              <w:t xml:space="preserve">Target </w:t>
            </w:r>
            <w:r>
              <w:rPr>
                <w:b/>
              </w:rPr>
              <w:t xml:space="preserve">date 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Fonts w:cs="Calibri"/>
              </w:rPr>
              <w:t>Progress 8</w:t>
            </w:r>
          </w:p>
        </w:tc>
        <w:tc>
          <w:tcPr>
            <w:tcW w:w="3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color w:val="000000"/>
              </w:rPr>
            </w:pPr>
            <w:r>
              <w:rPr>
                <w:color w:val="000000"/>
              </w:rPr>
              <w:t>P8 score of disadvantaged students at Kenton School to be above national average for all students</w:t>
            </w:r>
          </w:p>
        </w:tc>
        <w:tc>
          <w:tcPr>
            <w:tcW w:w="29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>September 2022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rFonts w:cs="Calibri"/>
              </w:rPr>
            </w:pPr>
            <w:r>
              <w:rPr>
                <w:rFonts w:cs="Calibri"/>
              </w:rPr>
              <w:t>Attainment 8</w:t>
            </w:r>
          </w:p>
        </w:tc>
        <w:tc>
          <w:tcPr>
            <w:tcW w:w="3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color w:val="000000"/>
              </w:rPr>
            </w:pPr>
            <w:r>
              <w:rPr>
                <w:color w:val="000000"/>
              </w:rPr>
              <w:t>A8 score of disadvantaged students at Kenton School to be in line with national average for all students</w:t>
            </w:r>
          </w:p>
        </w:tc>
        <w:tc>
          <w:tcPr>
            <w:tcW w:w="29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>September 2022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Fonts w:cs="Calibri"/>
              </w:rPr>
              <w:t>Percentage of Grade 4/5+ in English and maths</w:t>
            </w:r>
          </w:p>
        </w:tc>
        <w:tc>
          <w:tcPr>
            <w:tcW w:w="3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color w:val="000000"/>
              </w:rPr>
            </w:pPr>
            <w:r>
              <w:rPr>
                <w:color w:val="000000"/>
              </w:rPr>
              <w:t>Achievement of disadvantaged students at Kenton School to be in line with national average for all students</w:t>
            </w:r>
          </w:p>
        </w:tc>
        <w:tc>
          <w:tcPr>
            <w:tcW w:w="29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>September 2022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t>Absence</w:t>
            </w:r>
          </w:p>
        </w:tc>
        <w:tc>
          <w:tcPr>
            <w:tcW w:w="3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>Improve attendance to national average for all students</w:t>
            </w:r>
          </w:p>
          <w:p w:rsidR="00721176" w:rsidRDefault="00721176">
            <w:pPr>
              <w:pStyle w:val="TableRow"/>
              <w:rPr>
                <w:color w:val="000000"/>
              </w:rPr>
            </w:pPr>
          </w:p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>Reduce persistent absence to national average for all students</w:t>
            </w:r>
          </w:p>
        </w:tc>
        <w:tc>
          <w:tcPr>
            <w:tcW w:w="29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>September 2022</w:t>
            </w:r>
          </w:p>
        </w:tc>
      </w:tr>
    </w:tbl>
    <w:bookmarkEnd w:id="4"/>
    <w:p w:rsidR="00721176" w:rsidRDefault="00282350">
      <w:pPr>
        <w:pStyle w:val="Heading1"/>
        <w:rPr>
          <w:sz w:val="24"/>
        </w:rPr>
      </w:pPr>
      <w:r>
        <w:rPr>
          <w:sz w:val="24"/>
        </w:rPr>
        <w:lastRenderedPageBreak/>
        <w:t>Improve attendance and keep children safe - priorities for current academic year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7088"/>
      </w:tblGrid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b/>
              </w:rPr>
              <w:t>Measure</w: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Fonts w:cs="Calibri"/>
              </w:rPr>
              <w:t>Priority 1</w: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>Raise profile of attendance in assemblies and through communication</w:t>
            </w:r>
            <w:r>
              <w:rPr>
                <w:rStyle w:val="PlaceholderText"/>
                <w:color w:val="000000"/>
              </w:rPr>
              <w:t xml:space="preserve"> home.  This will include reward systems and initiatives.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rFonts w:cs="Calibri"/>
              </w:rPr>
            </w:pPr>
            <w:r>
              <w:rPr>
                <w:rFonts w:cs="Calibri"/>
              </w:rPr>
              <w:t>Priority 2</w: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>Review and rapidly embed new Attendance Steps policy and clarified roles and responsibilities at each stage.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rFonts w:cs="Calibri"/>
              </w:rPr>
            </w:pPr>
            <w:r>
              <w:rPr>
                <w:rFonts w:cs="Calibri"/>
              </w:rPr>
              <w:t>Priority 3</w: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ind w:left="0"/>
            </w:pPr>
            <w:r>
              <w:rPr>
                <w:rStyle w:val="PlaceholderText"/>
                <w:color w:val="000000"/>
              </w:rPr>
              <w:t xml:space="preserve">Develop on-site intervention strategies for targeted students in </w:t>
            </w:r>
            <w:r>
              <w:rPr>
                <w:rStyle w:val="PlaceholderText"/>
                <w:color w:val="000000"/>
              </w:rPr>
              <w:t>all years, including through collaboration with Combined Cadet Force.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rFonts w:cs="Calibri"/>
              </w:rPr>
            </w:pPr>
            <w:r>
              <w:rPr>
                <w:rFonts w:cs="Calibri"/>
              </w:rPr>
              <w:t>Barriers to learning these priorities address</w: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>Current levels of attendance and persistent absence are poor and the gap between “All students” and their Disadvantaged peers is to wide.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rFonts w:cs="Calibri"/>
              </w:rPr>
            </w:pPr>
            <w:r>
              <w:rPr>
                <w:rFonts w:cs="Calibri"/>
              </w:rPr>
              <w:t xml:space="preserve">Projected spending </w: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Style w:val="PlaceholderText"/>
                <w:color w:val="auto"/>
              </w:rPr>
              <w:t>To include:</w:t>
            </w:r>
          </w:p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>Salaries/part salaries – Attendance Lead, 2xAttendance Officers, Behaviour and Welfare Lead, contribution to Year Leader salaries, £192,933</w:t>
            </w:r>
          </w:p>
          <w:p w:rsidR="00721176" w:rsidRDefault="00282350">
            <w:pPr>
              <w:pStyle w:val="TableRow"/>
              <w:rPr>
                <w:color w:val="000000"/>
              </w:rPr>
            </w:pPr>
            <w:r>
              <w:rPr>
                <w:color w:val="000000"/>
              </w:rPr>
              <w:t>Alternative provision part payment £20,000</w:t>
            </w:r>
          </w:p>
          <w:p w:rsidR="00721176" w:rsidRDefault="00282350">
            <w:pPr>
              <w:pStyle w:val="TableRow"/>
              <w:rPr>
                <w:color w:val="000000"/>
              </w:rPr>
            </w:pPr>
            <w:r>
              <w:rPr>
                <w:color w:val="000000"/>
              </w:rPr>
              <w:t>Attendance cars maintenance £1500</w:t>
            </w:r>
          </w:p>
          <w:p w:rsidR="00721176" w:rsidRDefault="00282350">
            <w:pPr>
              <w:pStyle w:val="TableRow"/>
              <w:rPr>
                <w:color w:val="000000"/>
              </w:rPr>
            </w:pPr>
            <w:r>
              <w:rPr>
                <w:color w:val="000000"/>
              </w:rPr>
              <w:t>Short t</w:t>
            </w:r>
            <w:r>
              <w:rPr>
                <w:color w:val="000000"/>
              </w:rPr>
              <w:t>erm remote tutoring of students returning to school £30,000</w:t>
            </w:r>
          </w:p>
          <w:p w:rsidR="00721176" w:rsidRDefault="00282350">
            <w:pPr>
              <w:pStyle w:val="TableRow"/>
              <w:rPr>
                <w:color w:val="000000"/>
              </w:rPr>
            </w:pPr>
            <w:r>
              <w:rPr>
                <w:color w:val="000000"/>
              </w:rPr>
              <w:t>Attendance office admin costs £2000</w:t>
            </w:r>
          </w:p>
          <w:p w:rsidR="00721176" w:rsidRDefault="00282350">
            <w:pPr>
              <w:pStyle w:val="TableRow"/>
              <w:rPr>
                <w:color w:val="000000"/>
              </w:rPr>
            </w:pPr>
            <w:r>
              <w:rPr>
                <w:color w:val="000000"/>
              </w:rPr>
              <w:t>SIMS Parental Texting bundle £4000</w:t>
            </w:r>
          </w:p>
          <w:p w:rsidR="00721176" w:rsidRDefault="00282350">
            <w:pPr>
              <w:pStyle w:val="TableRow"/>
              <w:rPr>
                <w:color w:val="000000"/>
              </w:rPr>
            </w:pPr>
            <w:r>
              <w:rPr>
                <w:color w:val="000000"/>
              </w:rPr>
              <w:t>Attendance awards £1500</w:t>
            </w:r>
          </w:p>
          <w:p w:rsidR="00721176" w:rsidRDefault="00282350">
            <w:pPr>
              <w:pStyle w:val="TableRow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Clenel</w:t>
            </w:r>
            <w:proofErr w:type="spellEnd"/>
            <w:r>
              <w:rPr>
                <w:color w:val="000000"/>
              </w:rPr>
              <w:t xml:space="preserve"> Solutions Safeguarding SLA £17,500</w:t>
            </w:r>
          </w:p>
          <w:p w:rsidR="00721176" w:rsidRDefault="00282350">
            <w:pPr>
              <w:pStyle w:val="TableRow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Kalmer</w:t>
            </w:r>
            <w:proofErr w:type="spellEnd"/>
            <w:r>
              <w:rPr>
                <w:color w:val="000000"/>
              </w:rPr>
              <w:t xml:space="preserve"> Counselling £12,000</w:t>
            </w:r>
          </w:p>
          <w:p w:rsidR="00721176" w:rsidRDefault="00282350">
            <w:pPr>
              <w:pStyle w:val="TableRow"/>
              <w:rPr>
                <w:color w:val="000000"/>
              </w:rPr>
            </w:pPr>
            <w:r>
              <w:rPr>
                <w:color w:val="000000"/>
              </w:rPr>
              <w:t>Student transport £1500</w:t>
            </w:r>
          </w:p>
          <w:p w:rsidR="00721176" w:rsidRDefault="00282350">
            <w:pPr>
              <w:pStyle w:val="TableRow"/>
              <w:rPr>
                <w:color w:val="000000"/>
              </w:rPr>
            </w:pPr>
            <w:r>
              <w:rPr>
                <w:color w:val="000000"/>
              </w:rPr>
              <w:t>Breakfast club staffing and supplies £1850</w:t>
            </w:r>
          </w:p>
          <w:p w:rsidR="00721176" w:rsidRDefault="00721176">
            <w:pPr>
              <w:pStyle w:val="TableRow"/>
            </w:pPr>
          </w:p>
        </w:tc>
      </w:tr>
    </w:tbl>
    <w:p w:rsidR="00721176" w:rsidRDefault="00721176">
      <w:pPr>
        <w:pStyle w:val="Heading2"/>
        <w:rPr>
          <w:sz w:val="24"/>
          <w:szCs w:val="24"/>
        </w:rPr>
      </w:pPr>
    </w:p>
    <w:p w:rsidR="00721176" w:rsidRDefault="00721176">
      <w:pPr>
        <w:pageBreakBefore/>
        <w:suppressAutoHyphens w:val="0"/>
        <w:spacing w:after="0" w:line="240" w:lineRule="auto"/>
      </w:pPr>
    </w:p>
    <w:p w:rsidR="00721176" w:rsidRDefault="00282350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High quality teaching and learning - priorities for current academic year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7088"/>
      </w:tblGrid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b/>
              </w:rPr>
              <w:t>Measure</w: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b/>
              </w:rPr>
              <w:t>Activity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rFonts w:cs="Calibri"/>
              </w:rPr>
            </w:pPr>
            <w:r>
              <w:rPr>
                <w:rFonts w:cs="Calibri"/>
              </w:rPr>
              <w:t>Priority 1</w: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 xml:space="preserve">Ensure strategies for supporting retrieval and memory are embedded in all lessons, specifically a </w:t>
            </w:r>
            <w:r>
              <w:rPr>
                <w:rStyle w:val="PlaceholderText"/>
                <w:color w:val="000000"/>
              </w:rPr>
              <w:t>“visible” retrieval task at the beginning of each lesson and an “end and send” review activity at the end of each lesson.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rFonts w:cs="Calibri"/>
              </w:rPr>
            </w:pPr>
            <w:r>
              <w:rPr>
                <w:rFonts w:cs="Calibri"/>
              </w:rPr>
              <w:t>Priority 2</w: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color w:val="000000"/>
              </w:rPr>
            </w:pPr>
            <w:r>
              <w:rPr>
                <w:color w:val="000000"/>
              </w:rPr>
              <w:t xml:space="preserve">Develop staff skills so that Disciplinary Literacy is a feature of all schemes of learning. 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rFonts w:cs="Calibri"/>
              </w:rPr>
            </w:pPr>
            <w:r>
              <w:rPr>
                <w:rFonts w:cs="Calibri"/>
              </w:rPr>
              <w:t>Priority 3</w: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 xml:space="preserve">Ensure there is </w:t>
            </w:r>
            <w:r>
              <w:rPr>
                <w:rStyle w:val="PlaceholderText"/>
                <w:color w:val="000000"/>
              </w:rPr>
              <w:t>consistency in the quality of feedback and marking across the school and within departments. Whole Class Feedback to be developed and monitored to ensure it leads to student progress.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rFonts w:cs="Calibri"/>
              </w:rPr>
            </w:pPr>
            <w:r>
              <w:rPr>
                <w:rFonts w:cs="Calibri"/>
              </w:rPr>
              <w:t>Priority 4</w: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>Embed the new consequences system for praise and sanctions t</w:t>
            </w:r>
            <w:r>
              <w:rPr>
                <w:rStyle w:val="PlaceholderText"/>
                <w:color w:val="000000"/>
              </w:rPr>
              <w:t>o improve behaviour for learning in lessons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rFonts w:cs="Calibri"/>
              </w:rPr>
            </w:pPr>
            <w:r>
              <w:rPr>
                <w:rFonts w:cs="Calibri"/>
              </w:rPr>
              <w:t>Barriers to learning these priorities address</w: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numPr>
                <w:ilvl w:val="0"/>
                <w:numId w:val="25"/>
              </w:numPr>
            </w:pPr>
            <w:r>
              <w:rPr>
                <w:rStyle w:val="PlaceholderText"/>
                <w:color w:val="0D0D0D"/>
              </w:rPr>
              <w:t>Teaching is not consistently engaging all learners and notably some groups of PP learners (such as the most-able disadvantaged) are not being challenged to fulfil th</w:t>
            </w:r>
            <w:r>
              <w:rPr>
                <w:rStyle w:val="PlaceholderText"/>
                <w:color w:val="0D0D0D"/>
              </w:rPr>
              <w:t xml:space="preserve">eir potential.  </w:t>
            </w:r>
          </w:p>
          <w:p w:rsidR="00721176" w:rsidRDefault="00282350">
            <w:pPr>
              <w:pStyle w:val="TableRow"/>
              <w:numPr>
                <w:ilvl w:val="0"/>
                <w:numId w:val="25"/>
              </w:numPr>
            </w:pPr>
            <w:r>
              <w:t xml:space="preserve">Transitions across schools, key stages, year groups do not always ensure that vulnerable /PP pupils are fully supported to prevent ‘loss of learning’: consequently, their progress is not always as rapid as it should be </w:t>
            </w:r>
          </w:p>
          <w:p w:rsidR="00721176" w:rsidRDefault="00282350">
            <w:pPr>
              <w:pStyle w:val="TableRow"/>
              <w:numPr>
                <w:ilvl w:val="0"/>
                <w:numId w:val="25"/>
              </w:numPr>
            </w:pPr>
            <w:r>
              <w:t>As several middle l</w:t>
            </w:r>
            <w:r>
              <w:t>eaders are new in post, relative inexperience is currently having an impact on raising achievement in weaker curriculum areas. However, middle leadership training is already a priority and middle leaders and teachers are keen to learn from what makes leade</w:t>
            </w:r>
            <w:r>
              <w:t>rship and teaching in some subjects more successful than in others regarding PP performance.</w:t>
            </w:r>
          </w:p>
          <w:p w:rsidR="00721176" w:rsidRDefault="00282350">
            <w:pPr>
              <w:pStyle w:val="TableRow"/>
              <w:numPr>
                <w:ilvl w:val="0"/>
                <w:numId w:val="25"/>
              </w:numPr>
            </w:pPr>
            <w:r>
              <w:t xml:space="preserve">The engagement of some parents of PP pupils can be very limited as evidenced by the attendance of PP parents at school events; this is significantly lower overall </w:t>
            </w:r>
            <w:r>
              <w:t>than for non-PP parents. Support from parents at home with pupils’ learning (KLZ) and homework is also limited in many cases regardless of whether pupils are PP or NPP.</w:t>
            </w:r>
          </w:p>
          <w:p w:rsidR="00721176" w:rsidRDefault="00282350">
            <w:pPr>
              <w:pStyle w:val="TableRow"/>
              <w:numPr>
                <w:ilvl w:val="0"/>
                <w:numId w:val="25"/>
              </w:numPr>
            </w:pPr>
            <w:r>
              <w:t>Detailed analysis of PP / disadvantaged cohorts indicates that they often arrive in yea</w:t>
            </w:r>
            <w:r>
              <w:t>r 7 exhibiting ‘word poverty’, with comparatively narrow experience of culture/books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rFonts w:cs="Calibri"/>
              </w:rPr>
            </w:pPr>
            <w:r>
              <w:rPr>
                <w:rFonts w:cs="Calibri"/>
              </w:rPr>
              <w:t>Projected spending</w: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t xml:space="preserve">To </w:t>
            </w:r>
            <w:r>
              <w:rPr>
                <w:color w:val="000000"/>
              </w:rPr>
              <w:t>include:</w:t>
            </w:r>
          </w:p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>Contribution to Year Leader salaries, contribution to admin support, contribution to AP T&amp;L salary, £39,803</w:t>
            </w:r>
          </w:p>
          <w:p w:rsidR="00721176" w:rsidRDefault="00282350">
            <w:pPr>
              <w:pStyle w:val="TableRow"/>
            </w:pPr>
            <w:r>
              <w:lastRenderedPageBreak/>
              <w:t xml:space="preserve">Numeracy across the curriculum </w:t>
            </w:r>
            <w:r>
              <w:t xml:space="preserve">budget £2060 *2020-2021 not applicable </w:t>
            </w:r>
          </w:p>
          <w:p w:rsidR="00721176" w:rsidRDefault="00282350">
            <w:pPr>
              <w:pStyle w:val="TableRow"/>
            </w:pPr>
            <w:r>
              <w:t>Literacy across the curriculum budget £2060 *2020-2021 not applicable</w:t>
            </w:r>
          </w:p>
          <w:p w:rsidR="00721176" w:rsidRDefault="00282350">
            <w:pPr>
              <w:pStyle w:val="TableRow"/>
            </w:pPr>
            <w:r>
              <w:t>Contribution to PiXL Membership and conference costs £7000</w:t>
            </w:r>
          </w:p>
          <w:p w:rsidR="00721176" w:rsidRDefault="00282350">
            <w:pPr>
              <w:pStyle w:val="TableRow"/>
            </w:pPr>
            <w:r>
              <w:t>Contribution to IT maintenance £30,000</w:t>
            </w:r>
          </w:p>
          <w:p w:rsidR="00721176" w:rsidRDefault="00282350">
            <w:pPr>
              <w:pStyle w:val="TableRow"/>
            </w:pPr>
            <w:r>
              <w:t>Continuous Professional Development £7500</w:t>
            </w:r>
          </w:p>
          <w:p w:rsidR="00721176" w:rsidRDefault="00282350">
            <w:pPr>
              <w:pStyle w:val="TableRow"/>
            </w:pPr>
            <w:r>
              <w:t>Lesson</w:t>
            </w:r>
            <w:r>
              <w:t xml:space="preserve"> recording equipment £650 *Teams compatible recording equipment £1500</w:t>
            </w:r>
          </w:p>
          <w:p w:rsidR="00721176" w:rsidRDefault="00282350">
            <w:pPr>
              <w:pStyle w:val="TableRow"/>
            </w:pPr>
            <w:r>
              <w:t>Resources for Teaching &amp; Learning working groups £500</w:t>
            </w:r>
          </w:p>
          <w:p w:rsidR="00721176" w:rsidRDefault="00282350">
            <w:pPr>
              <w:pStyle w:val="TableRow"/>
            </w:pPr>
            <w:r>
              <w:t>Staff reading library £500</w:t>
            </w:r>
          </w:p>
          <w:p w:rsidR="00721176" w:rsidRDefault="00282350">
            <w:pPr>
              <w:pStyle w:val="TableRow"/>
            </w:pPr>
            <w:r>
              <w:t>Departmental engagement bids £1200</w:t>
            </w:r>
          </w:p>
          <w:p w:rsidR="00721176" w:rsidRDefault="00282350">
            <w:pPr>
              <w:pStyle w:val="TableRow"/>
            </w:pPr>
            <w:r>
              <w:t>Reading books for new texts in English £1500</w:t>
            </w:r>
          </w:p>
          <w:p w:rsidR="00721176" w:rsidRDefault="00282350">
            <w:pPr>
              <w:pStyle w:val="TableRow"/>
            </w:pPr>
            <w:r>
              <w:t>Calculators for maths dep</w:t>
            </w:r>
            <w:r>
              <w:t>artment £3900</w:t>
            </w:r>
          </w:p>
          <w:p w:rsidR="00721176" w:rsidRDefault="00282350">
            <w:pPr>
              <w:pStyle w:val="TableRow"/>
            </w:pPr>
            <w:r>
              <w:t>Kaboodle subscription (Humanities) £272</w:t>
            </w:r>
          </w:p>
          <w:p w:rsidR="00721176" w:rsidRDefault="00282350">
            <w:pPr>
              <w:pStyle w:val="TableRow"/>
            </w:pPr>
            <w:r>
              <w:t>History field trip contribution £930 * 2020-2021 not applicable</w:t>
            </w:r>
          </w:p>
          <w:p w:rsidR="00721176" w:rsidRDefault="00282350">
            <w:pPr>
              <w:pStyle w:val="TableRow"/>
            </w:pPr>
            <w:r>
              <w:t>MFL events £300</w:t>
            </w:r>
          </w:p>
          <w:p w:rsidR="00721176" w:rsidRDefault="00282350">
            <w:pPr>
              <w:pStyle w:val="TableRow"/>
            </w:pPr>
            <w:r>
              <w:t>Visiting theatre productions £750 *2020-2021 not applicable</w:t>
            </w:r>
          </w:p>
          <w:p w:rsidR="00721176" w:rsidRDefault="00282350">
            <w:pPr>
              <w:pStyle w:val="TableRow"/>
            </w:pPr>
            <w:r>
              <w:t>External validation and moderation of marking £2500</w:t>
            </w:r>
          </w:p>
          <w:p w:rsidR="00721176" w:rsidRDefault="00282350">
            <w:pPr>
              <w:pStyle w:val="TableRow"/>
            </w:pPr>
            <w:r>
              <w:t>Displays f</w:t>
            </w:r>
            <w:r>
              <w:t>or maths corridors £4900 *one off cost</w:t>
            </w:r>
          </w:p>
          <w:p w:rsidR="00721176" w:rsidRDefault="00721176">
            <w:pPr>
              <w:pStyle w:val="TableRow"/>
            </w:pPr>
          </w:p>
        </w:tc>
      </w:tr>
    </w:tbl>
    <w:p w:rsidR="00721176" w:rsidRDefault="00721176">
      <w:pPr>
        <w:pStyle w:val="Heading2"/>
        <w:rPr>
          <w:sz w:val="24"/>
          <w:szCs w:val="24"/>
        </w:rPr>
      </w:pPr>
    </w:p>
    <w:p w:rsidR="00721176" w:rsidRDefault="00721176">
      <w:pPr>
        <w:pageBreakBefore/>
        <w:suppressAutoHyphens w:val="0"/>
        <w:spacing w:after="0" w:line="240" w:lineRule="auto"/>
      </w:pPr>
    </w:p>
    <w:p w:rsidR="00721176" w:rsidRDefault="00282350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Targeted intervention for current academic year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7088"/>
      </w:tblGrid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b/>
              </w:rPr>
              <w:t>Measure</w: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b/>
              </w:rPr>
              <w:t>Activity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rFonts w:cs="Calibri"/>
              </w:rPr>
            </w:pPr>
            <w:r>
              <w:rPr>
                <w:rFonts w:cs="Calibri"/>
              </w:rPr>
              <w:t>Priority 1</w: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 xml:space="preserve">Ensure intervention in Year 10 and 11 is targeted to ensure an increase in the proportion of students achieving 4+ and 5+ across all </w:t>
            </w:r>
            <w:r>
              <w:rPr>
                <w:rStyle w:val="PlaceholderText"/>
                <w:color w:val="000000"/>
              </w:rPr>
              <w:t>EBACC subjects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rFonts w:cs="Calibri"/>
              </w:rPr>
            </w:pPr>
            <w:r>
              <w:rPr>
                <w:rFonts w:cs="Calibri"/>
              </w:rPr>
              <w:t>Priority 2</w: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>Ensure that intervention in Year 10 and 11 is sharply focussed on identification of intervention need and driving combined improvement in English and Maths at 4+ and 5+ thresholds.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rFonts w:cs="Calibri"/>
              </w:rPr>
            </w:pPr>
            <w:r>
              <w:rPr>
                <w:rFonts w:cs="Calibri"/>
              </w:rPr>
              <w:t>Priority 3</w: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>Ensure that class teachers take owne</w:t>
            </w:r>
            <w:r>
              <w:rPr>
                <w:rStyle w:val="PlaceholderText"/>
                <w:color w:val="000000"/>
              </w:rPr>
              <w:t>rship of the progress of students in their class and that they employ identified EEF strategies to accelerate the progression of students falling behind expected progress.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rFonts w:cs="Calibri"/>
              </w:rPr>
            </w:pPr>
            <w:r>
              <w:rPr>
                <w:rFonts w:cs="Calibri"/>
              </w:rPr>
              <w:t>Barriers to learning these priorities address</w: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numPr>
                <w:ilvl w:val="0"/>
                <w:numId w:val="26"/>
              </w:numPr>
              <w:rPr>
                <w:color w:val="000000"/>
              </w:rPr>
            </w:pPr>
            <w:bookmarkStart w:id="5" w:name="_Hlk25051523"/>
            <w:r>
              <w:rPr>
                <w:color w:val="000000"/>
              </w:rPr>
              <w:t xml:space="preserve">Those who do not make better than </w:t>
            </w:r>
            <w:r>
              <w:rPr>
                <w:color w:val="000000"/>
              </w:rPr>
              <w:t>expected progress at the end of KS3 are disadvantaged as they embark on their GCSEs and this impacts upon their outcomes at the end of Key Stage 4.</w:t>
            </w:r>
            <w:bookmarkEnd w:id="5"/>
          </w:p>
        </w:tc>
      </w:tr>
      <w:tr w:rsidR="0072117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rFonts w:cs="Calibri"/>
              </w:rPr>
            </w:pPr>
            <w:r>
              <w:rPr>
                <w:rFonts w:cs="Calibri"/>
              </w:rPr>
              <w:t>Projected spending</w: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t>To include</w:t>
            </w:r>
          </w:p>
          <w:p w:rsidR="00721176" w:rsidRDefault="00282350">
            <w:pPr>
              <w:pStyle w:val="TableRow"/>
            </w:pPr>
            <w:r>
              <w:t xml:space="preserve">Contribution to Assistant Principal salaries, contribution to Vice Principal </w:t>
            </w:r>
            <w:r>
              <w:t>salary, Pupil Premium Coordinator TLR, English and Maths teaching time for Y11 intervention, Reading project TLR £91,045</w:t>
            </w:r>
          </w:p>
          <w:p w:rsidR="00721176" w:rsidRDefault="00282350">
            <w:pPr>
              <w:pStyle w:val="TableRow"/>
            </w:pPr>
            <w:r>
              <w:t>Contribution to PiXL Membership and conference costs £3,300</w:t>
            </w:r>
          </w:p>
          <w:p w:rsidR="00721176" w:rsidRDefault="00282350">
            <w:pPr>
              <w:pStyle w:val="TableRow"/>
            </w:pPr>
            <w:r>
              <w:t>Maths small group tuition £7000</w:t>
            </w:r>
          </w:p>
          <w:p w:rsidR="00721176" w:rsidRDefault="00282350">
            <w:pPr>
              <w:pStyle w:val="TableRow"/>
            </w:pPr>
            <w:r>
              <w:t>Action Tutoring (English and maths) £7500</w:t>
            </w:r>
          </w:p>
          <w:p w:rsidR="00721176" w:rsidRDefault="00282350">
            <w:pPr>
              <w:pStyle w:val="TableRow"/>
            </w:pPr>
            <w:r>
              <w:t>S</w:t>
            </w:r>
            <w:r>
              <w:t>ISRA licence £1995</w:t>
            </w:r>
          </w:p>
          <w:p w:rsidR="00721176" w:rsidRDefault="00282350">
            <w:pPr>
              <w:pStyle w:val="TableRow"/>
            </w:pPr>
            <w:r>
              <w:t>Reading Plus intervention licence £2900</w:t>
            </w:r>
          </w:p>
          <w:p w:rsidR="00721176" w:rsidRDefault="00282350">
            <w:pPr>
              <w:pStyle w:val="TableRow"/>
            </w:pPr>
            <w:r>
              <w:t>Hosting student revision conferences £500</w:t>
            </w:r>
          </w:p>
          <w:p w:rsidR="00721176" w:rsidRDefault="00282350">
            <w:pPr>
              <w:pStyle w:val="TableRow"/>
            </w:pPr>
            <w:r>
              <w:t>Revision refreshments £400</w:t>
            </w:r>
          </w:p>
          <w:p w:rsidR="00721176" w:rsidRDefault="00282350">
            <w:pPr>
              <w:pStyle w:val="TableRow"/>
            </w:pPr>
            <w:r>
              <w:t>Revision packs £1000</w:t>
            </w:r>
          </w:p>
          <w:p w:rsidR="00721176" w:rsidRDefault="00282350">
            <w:pPr>
              <w:pStyle w:val="TableRow"/>
            </w:pPr>
            <w:r>
              <w:t>Open Pot Revision guides £1570</w:t>
            </w:r>
          </w:p>
          <w:p w:rsidR="00721176" w:rsidRDefault="00282350">
            <w:pPr>
              <w:pStyle w:val="TableRow"/>
            </w:pPr>
            <w:r>
              <w:t>English and maths revision guides and cards £1500</w:t>
            </w:r>
          </w:p>
          <w:p w:rsidR="00721176" w:rsidRDefault="00282350">
            <w:pPr>
              <w:pStyle w:val="TableRow"/>
            </w:pPr>
            <w:r>
              <w:t>Reprographics for internal</w:t>
            </w:r>
            <w:r>
              <w:t>ly produced revision resources and next steps materials £4000</w:t>
            </w:r>
          </w:p>
          <w:p w:rsidR="00721176" w:rsidRDefault="00282350">
            <w:pPr>
              <w:pStyle w:val="TableRow"/>
            </w:pPr>
            <w:r>
              <w:t xml:space="preserve">Upgrading Twilight intervention facilities £2700 *one off cost </w:t>
            </w:r>
          </w:p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>Note – a separate plan exists for the spend of Catch Up money to support students entering Y7 not at nationally expected levels.</w:t>
            </w:r>
          </w:p>
        </w:tc>
      </w:tr>
    </w:tbl>
    <w:p w:rsidR="00721176" w:rsidRDefault="00721176">
      <w:pPr>
        <w:pStyle w:val="Heading2"/>
        <w:spacing w:before="0"/>
        <w:rPr>
          <w:sz w:val="24"/>
          <w:szCs w:val="24"/>
        </w:rPr>
      </w:pPr>
    </w:p>
    <w:p w:rsidR="00721176" w:rsidRDefault="00721176">
      <w:pPr>
        <w:pStyle w:val="Heading2"/>
        <w:spacing w:before="0"/>
        <w:rPr>
          <w:sz w:val="24"/>
          <w:szCs w:val="24"/>
        </w:rPr>
      </w:pPr>
    </w:p>
    <w:p w:rsidR="00721176" w:rsidRDefault="00721176">
      <w:pPr>
        <w:pageBreakBefore/>
        <w:suppressAutoHyphens w:val="0"/>
        <w:spacing w:after="0" w:line="240" w:lineRule="auto"/>
      </w:pPr>
    </w:p>
    <w:p w:rsidR="00721176" w:rsidRDefault="00282350">
      <w:pPr>
        <w:pStyle w:val="Heading2"/>
        <w:spacing w:before="0"/>
        <w:rPr>
          <w:sz w:val="24"/>
          <w:szCs w:val="24"/>
        </w:rPr>
      </w:pPr>
      <w:r>
        <w:rPr>
          <w:sz w:val="24"/>
          <w:szCs w:val="24"/>
        </w:rPr>
        <w:t>WIDER STRATEGIES FOR CURRENT ACADEMIC YEAR</w:t>
      </w:r>
    </w:p>
    <w:p w:rsidR="00721176" w:rsidRDefault="00282350">
      <w:pPr>
        <w:pStyle w:val="Heading2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Raising aspirations and developing character through LORIC </w:t>
      </w:r>
    </w:p>
    <w:p w:rsidR="00721176" w:rsidRDefault="00282350">
      <w:pPr>
        <w:pStyle w:val="Heading2"/>
        <w:spacing w:before="0"/>
        <w:rPr>
          <w:sz w:val="24"/>
          <w:szCs w:val="24"/>
        </w:rPr>
      </w:pPr>
      <w:r>
        <w:rPr>
          <w:sz w:val="24"/>
          <w:szCs w:val="24"/>
        </w:rPr>
        <w:t>Developing a sense of belonging to Kenton and wider communities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7088"/>
      </w:tblGrid>
      <w:tr w:rsidR="00721176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b/>
              </w:rPr>
            </w:pPr>
            <w:r>
              <w:rPr>
                <w:b/>
              </w:rPr>
              <w:t>Measure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176" w:rsidRDefault="00282350">
            <w:pPr>
              <w:pStyle w:val="TableRow"/>
              <w:ind w:left="0"/>
              <w:rPr>
                <w:rFonts w:cs="Calibri"/>
              </w:rPr>
            </w:pPr>
            <w:r>
              <w:rPr>
                <w:rFonts w:cs="Calibri"/>
              </w:rPr>
              <w:t>Priority 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>Plan and deliver a series of Personal Development Days to</w:t>
            </w:r>
            <w:r>
              <w:rPr>
                <w:rStyle w:val="PlaceholderText"/>
                <w:color w:val="000000"/>
              </w:rPr>
              <w:t xml:space="preserve"> provide students with outstanding PSHE 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176" w:rsidRDefault="00282350">
            <w:pPr>
              <w:pStyle w:val="TableRow"/>
              <w:ind w:left="0"/>
              <w:rPr>
                <w:rFonts w:cs="Calibri"/>
              </w:rPr>
            </w:pPr>
            <w:r>
              <w:rPr>
                <w:rFonts w:cs="Calibri"/>
              </w:rPr>
              <w:t>Priority 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>Raise student aspirations including through facilitating meaningful encounters with employers and further/higher education providers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176" w:rsidRDefault="00282350">
            <w:pPr>
              <w:pStyle w:val="TableRow"/>
              <w:ind w:left="0"/>
              <w:rPr>
                <w:rFonts w:cs="Calibri"/>
              </w:rPr>
            </w:pPr>
            <w:r>
              <w:rPr>
                <w:rFonts w:cs="Calibri"/>
              </w:rPr>
              <w:t>Priority 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>Kenton Aspire five-year character development programme to</w:t>
            </w:r>
            <w:r>
              <w:rPr>
                <w:rStyle w:val="PlaceholderText"/>
                <w:color w:val="000000"/>
              </w:rPr>
              <w:t xml:space="preserve"> be launched with Y7.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176" w:rsidRDefault="00282350">
            <w:pPr>
              <w:pStyle w:val="TableRow"/>
              <w:ind w:left="0"/>
              <w:rPr>
                <w:rFonts w:cs="Calibri"/>
              </w:rPr>
            </w:pPr>
            <w:r>
              <w:rPr>
                <w:rFonts w:cs="Calibri"/>
              </w:rPr>
              <w:t>Barriers to learning these priorities address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numPr>
                <w:ilvl w:val="0"/>
                <w:numId w:val="27"/>
              </w:numPr>
            </w:pPr>
            <w:r>
              <w:t>Small groups of PP pupils in different cohorts, particularly in Year 10, have behavioural issues as a result of complex issues and needs.  The behaviours detrimentally affect their progre</w:t>
            </w:r>
            <w:r>
              <w:t>ss and the progress of others. Many PP pupils have not had appropriate SEN assessment at KS2.</w:t>
            </w:r>
          </w:p>
          <w:p w:rsidR="00721176" w:rsidRDefault="00282350">
            <w:pPr>
              <w:pStyle w:val="TableRow"/>
              <w:numPr>
                <w:ilvl w:val="0"/>
                <w:numId w:val="27"/>
              </w:numPr>
            </w:pPr>
            <w:r>
              <w:t>Social barriers/impact of living in poverty/mental health.  The social circumstances of pupils eligible for PP often impacts on their emotional and social wellbei</w:t>
            </w:r>
            <w:r>
              <w:t>ng their behaviour and, ultimately, readiness for learning as evidenced by the number of multi agencies working with PP pupils.</w:t>
            </w:r>
          </w:p>
          <w:p w:rsidR="00721176" w:rsidRDefault="00282350">
            <w:pPr>
              <w:pStyle w:val="TableRow"/>
              <w:numPr>
                <w:ilvl w:val="0"/>
                <w:numId w:val="27"/>
              </w:numPr>
            </w:pPr>
            <w:r>
              <w:t>Detailed analysis of PP / disadvantaged cohorts indicates that they often arrive in year 7 exhibiting ‘word poverty’, with compa</w:t>
            </w:r>
            <w:r>
              <w:t xml:space="preserve">ratively narrow experience of culture/books. Further carefully planned programmes of pastoral, curricular (including the development of </w:t>
            </w:r>
            <w:proofErr w:type="spellStart"/>
            <w:r>
              <w:t>oracy</w:t>
            </w:r>
            <w:proofErr w:type="spellEnd"/>
            <w:r>
              <w:t xml:space="preserve"> techniques in school) and extra-curricular activities are needed to promote inclusion, widen pupils’ horizons and </w:t>
            </w:r>
            <w:r>
              <w:t>inspire life-long ambition and a love of words and an expanding vocabulary.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176" w:rsidRDefault="00282350">
            <w:pPr>
              <w:pStyle w:val="TableRow"/>
              <w:ind w:left="0"/>
              <w:rPr>
                <w:rFonts w:cs="Calibri"/>
              </w:rPr>
            </w:pPr>
            <w:r>
              <w:rPr>
                <w:rFonts w:cs="Calibri"/>
              </w:rPr>
              <w:t>Projected spending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>To include:</w:t>
            </w:r>
          </w:p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>Contribution to Year Leader salaries, Kenton Aspire honorarium £39,803</w:t>
            </w:r>
          </w:p>
          <w:p w:rsidR="00721176" w:rsidRDefault="00282350">
            <w:pPr>
              <w:pStyle w:val="TableRow"/>
              <w:rPr>
                <w:color w:val="000000"/>
              </w:rPr>
            </w:pPr>
            <w:r>
              <w:rPr>
                <w:color w:val="000000"/>
              </w:rPr>
              <w:t>Breakfast club staffing and supplies £1850</w:t>
            </w:r>
          </w:p>
          <w:p w:rsidR="00721176" w:rsidRDefault="00282350">
            <w:pPr>
              <w:pStyle w:val="TableRow"/>
              <w:rPr>
                <w:color w:val="000000"/>
              </w:rPr>
            </w:pPr>
            <w:r>
              <w:rPr>
                <w:color w:val="000000"/>
              </w:rPr>
              <w:t>Speakers and resources for Persona</w:t>
            </w:r>
            <w:r>
              <w:rPr>
                <w:color w:val="000000"/>
              </w:rPr>
              <w:t>l Development Days £5000</w:t>
            </w:r>
          </w:p>
          <w:p w:rsidR="00721176" w:rsidRDefault="00282350">
            <w:pPr>
              <w:pStyle w:val="TableRow"/>
            </w:pPr>
            <w:r>
              <w:t>Visiting theatre productions £750 * 2020-2021 not applicable</w:t>
            </w:r>
          </w:p>
          <w:p w:rsidR="00721176" w:rsidRDefault="00282350">
            <w:pPr>
              <w:pStyle w:val="TableRow"/>
            </w:pPr>
            <w:r>
              <w:t>Careers project coordinator £1250</w:t>
            </w:r>
          </w:p>
          <w:p w:rsidR="00721176" w:rsidRDefault="00282350">
            <w:pPr>
              <w:pStyle w:val="TableRow"/>
            </w:pPr>
            <w:r>
              <w:t>Enhanced Futures Me Co-ordinator position £2500 *one off cost</w:t>
            </w:r>
          </w:p>
          <w:p w:rsidR="00721176" w:rsidRDefault="00282350">
            <w:pPr>
              <w:pStyle w:val="TableRow"/>
            </w:pPr>
            <w:r>
              <w:t>Engagement activities coordinator £1250</w:t>
            </w:r>
          </w:p>
          <w:p w:rsidR="00721176" w:rsidRDefault="00282350">
            <w:pPr>
              <w:pStyle w:val="TableRow"/>
            </w:pPr>
            <w:r>
              <w:t>Song writing project £500</w:t>
            </w:r>
          </w:p>
          <w:p w:rsidR="00721176" w:rsidRDefault="00282350">
            <w:pPr>
              <w:pStyle w:val="TableRow"/>
            </w:pPr>
            <w:r>
              <w:lastRenderedPageBreak/>
              <w:t>University trips £1000 * 2020-2021 not applicable</w:t>
            </w:r>
          </w:p>
          <w:p w:rsidR="00721176" w:rsidRDefault="00282350">
            <w:pPr>
              <w:pStyle w:val="TableRow"/>
            </w:pPr>
            <w:r>
              <w:t>Kingswood Field Centre trip £4,996 * 2020-2021 not applicable</w:t>
            </w:r>
          </w:p>
          <w:p w:rsidR="00721176" w:rsidRDefault="00282350">
            <w:pPr>
              <w:pStyle w:val="TableRow"/>
            </w:pPr>
            <w:r>
              <w:t>Careers events £1500</w:t>
            </w:r>
          </w:p>
          <w:p w:rsidR="00721176" w:rsidRDefault="00282350">
            <w:pPr>
              <w:pStyle w:val="TableRow"/>
            </w:pPr>
            <w:r>
              <w:t>Engagement activities at lunch and break £500</w:t>
            </w:r>
          </w:p>
          <w:p w:rsidR="00721176" w:rsidRDefault="00282350">
            <w:pPr>
              <w:pStyle w:val="TableRow"/>
            </w:pPr>
            <w:r>
              <w:t>University and apprenticeship window display £750</w:t>
            </w:r>
          </w:p>
          <w:p w:rsidR="00721176" w:rsidRDefault="00282350">
            <w:pPr>
              <w:pStyle w:val="TableRow"/>
            </w:pPr>
            <w:r>
              <w:t>Poverty Proofing review £75</w:t>
            </w:r>
            <w:r>
              <w:t>0</w:t>
            </w:r>
          </w:p>
          <w:p w:rsidR="00721176" w:rsidRDefault="00282350">
            <w:pPr>
              <w:pStyle w:val="TableRow"/>
            </w:pPr>
            <w:r>
              <w:t>PP Advisor/Review £2500</w:t>
            </w:r>
          </w:p>
          <w:p w:rsidR="00721176" w:rsidRDefault="00721176">
            <w:pPr>
              <w:pStyle w:val="TableRow"/>
            </w:pPr>
          </w:p>
        </w:tc>
      </w:tr>
    </w:tbl>
    <w:p w:rsidR="00721176" w:rsidRDefault="00721176">
      <w:pPr>
        <w:pStyle w:val="Heading2"/>
        <w:rPr>
          <w:sz w:val="24"/>
          <w:szCs w:val="24"/>
        </w:rPr>
      </w:pPr>
    </w:p>
    <w:p w:rsidR="00721176" w:rsidRDefault="00721176">
      <w:pPr>
        <w:pageBreakBefore/>
        <w:suppressAutoHyphens w:val="0"/>
        <w:spacing w:after="0" w:line="240" w:lineRule="auto"/>
      </w:pPr>
    </w:p>
    <w:p w:rsidR="00721176" w:rsidRDefault="00282350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Monitoring and implementation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685"/>
        <w:gridCol w:w="3828"/>
      </w:tblGrid>
      <w:tr w:rsidR="00721176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b/>
                <w:bCs/>
              </w:rPr>
            </w:pPr>
            <w:r>
              <w:rPr>
                <w:b/>
                <w:bCs/>
              </w:rPr>
              <w:t>Challenge (CV19 RA applicable to all)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  <w:rPr>
                <w:b/>
              </w:rPr>
            </w:pPr>
            <w:r>
              <w:rPr>
                <w:b/>
              </w:rPr>
              <w:t>Mitigating action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176" w:rsidRDefault="00282350">
            <w:pPr>
              <w:pStyle w:val="TableRow"/>
              <w:ind w:left="0"/>
              <w:rPr>
                <w:rFonts w:cs="Calibri"/>
              </w:rPr>
            </w:pPr>
            <w:r>
              <w:rPr>
                <w:rFonts w:cs="Calibri"/>
              </w:rPr>
              <w:t>Attendance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bCs/>
              </w:rPr>
              <w:t>The tracking and intervention of PP absence within each year group needs to be further developed</w:t>
            </w:r>
            <w:r>
              <w:t xml:space="preserve"> and strategies used </w:t>
            </w:r>
            <w:r>
              <w:t>evaluated for impact and value for money.</w:t>
            </w:r>
          </w:p>
          <w:p w:rsidR="00721176" w:rsidRDefault="00721176">
            <w:pPr>
              <w:pStyle w:val="TableRow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t>A new STEPS approach to monitoring attendance will be introduced.  The new attendance lead will build on existing recording and analysis systems.</w:t>
            </w:r>
          </w:p>
        </w:tc>
      </w:tr>
      <w:tr w:rsidR="00721176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176" w:rsidRDefault="00282350">
            <w:pPr>
              <w:pStyle w:val="TableRow"/>
              <w:ind w:left="0"/>
              <w:rPr>
                <w:rFonts w:cs="Calibri"/>
              </w:rPr>
            </w:pPr>
            <w:r>
              <w:rPr>
                <w:rFonts w:cs="Calibri"/>
              </w:rPr>
              <w:t>Teaching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t xml:space="preserve">Further training is needed to ensure that all MLs and </w:t>
            </w:r>
            <w:r>
              <w:t>teaching staff are fully aware of the demands of the specification of the new GCSEs.</w:t>
            </w:r>
          </w:p>
          <w:p w:rsidR="00721176" w:rsidRDefault="00721176">
            <w:pPr>
              <w:pStyle w:val="TableRow"/>
            </w:pPr>
          </w:p>
          <w:p w:rsidR="00721176" w:rsidRDefault="00721176">
            <w:pPr>
              <w:pStyle w:val="TableRow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>Training to be provided through One Vision partners</w:t>
            </w:r>
          </w:p>
          <w:p w:rsidR="00721176" w:rsidRDefault="00721176">
            <w:pPr>
              <w:pStyle w:val="TableRow"/>
            </w:pPr>
          </w:p>
          <w:p w:rsidR="00721176" w:rsidRDefault="00282350">
            <w:pPr>
              <w:pStyle w:val="TableRow"/>
              <w:ind w:left="0"/>
            </w:pPr>
            <w:r>
              <w:rPr>
                <w:rStyle w:val="PlaceholderText"/>
                <w:color w:val="000000"/>
              </w:rPr>
              <w:t xml:space="preserve">Assistant Principal for Teaching &amp; Learning to rework PLP for the year and work with T&amp;L leads and </w:t>
            </w:r>
            <w:proofErr w:type="spellStart"/>
            <w:r>
              <w:rPr>
                <w:rStyle w:val="PlaceholderText"/>
                <w:color w:val="000000"/>
              </w:rPr>
              <w:t>HoDs</w:t>
            </w:r>
            <w:proofErr w:type="spellEnd"/>
            <w:r>
              <w:rPr>
                <w:rStyle w:val="PlaceholderText"/>
                <w:color w:val="000000"/>
              </w:rPr>
              <w:t xml:space="preserve"> to </w:t>
            </w:r>
            <w:r>
              <w:rPr>
                <w:rStyle w:val="PlaceholderText"/>
                <w:color w:val="000000"/>
              </w:rPr>
              <w:t>standardise approach to key T&amp;L objectives.</w:t>
            </w:r>
          </w:p>
          <w:p w:rsidR="00721176" w:rsidRDefault="00721176">
            <w:pPr>
              <w:pStyle w:val="TableRow"/>
              <w:ind w:left="0"/>
              <w:rPr>
                <w:color w:val="000000"/>
              </w:rPr>
            </w:pPr>
          </w:p>
        </w:tc>
      </w:tr>
      <w:tr w:rsidR="00721176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176" w:rsidRDefault="00282350">
            <w:pPr>
              <w:pStyle w:val="TableRow"/>
              <w:ind w:left="0"/>
              <w:rPr>
                <w:rFonts w:cs="Calibri"/>
              </w:rPr>
            </w:pPr>
            <w:r>
              <w:rPr>
                <w:rFonts w:cs="Calibri"/>
              </w:rPr>
              <w:t>Targeted support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t>Although detailed tracking and evaluations exist, they have not always been rigorously linked to pupil outcomes in particular year groups, nor have tracking and evaluations consistently been ca</w:t>
            </w:r>
            <w:r>
              <w:t>rried out across subject areas and year groups.</w:t>
            </w:r>
          </w:p>
          <w:p w:rsidR="00721176" w:rsidRDefault="00721176">
            <w:pPr>
              <w:pStyle w:val="TableRow"/>
            </w:pPr>
          </w:p>
          <w:p w:rsidR="00721176" w:rsidRDefault="00721176">
            <w:pPr>
              <w:pStyle w:val="TableRow"/>
            </w:pPr>
          </w:p>
          <w:p w:rsidR="00721176" w:rsidRDefault="00721176">
            <w:pPr>
              <w:pStyle w:val="TableRow"/>
            </w:pPr>
          </w:p>
          <w:p w:rsidR="00721176" w:rsidRDefault="00282350">
            <w:pPr>
              <w:pStyle w:val="TableRow"/>
            </w:pPr>
            <w:r>
              <w:t>There have been inaccuracies in the predictions made in some GCSE subject areas.</w:t>
            </w:r>
          </w:p>
          <w:p w:rsidR="00721176" w:rsidRDefault="00721176">
            <w:pPr>
              <w:pStyle w:val="TableRow"/>
            </w:pPr>
          </w:p>
          <w:p w:rsidR="00721176" w:rsidRDefault="00282350">
            <w:pPr>
              <w:pStyle w:val="TableRow"/>
            </w:pPr>
            <w:r>
              <w:t>Historic difficulty in recruiting high calibre intervention tutors.</w:t>
            </w:r>
          </w:p>
          <w:p w:rsidR="00721176" w:rsidRDefault="00721176">
            <w:pPr>
              <w:pStyle w:val="TableRow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 xml:space="preserve">Assistant Principals to monitor ongoing progress of </w:t>
            </w:r>
            <w:r>
              <w:rPr>
                <w:rStyle w:val="PlaceholderText"/>
                <w:color w:val="000000"/>
              </w:rPr>
              <w:t>students identified for class-based interventions, building on early successes recognised by Ofsted.</w:t>
            </w:r>
          </w:p>
          <w:p w:rsidR="00721176" w:rsidRDefault="00721176">
            <w:pPr>
              <w:pStyle w:val="TableRow"/>
            </w:pPr>
          </w:p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>Y11 interventions to be monitored closely and reported on at weekly RAG meeting.</w:t>
            </w:r>
          </w:p>
          <w:p w:rsidR="00721176" w:rsidRDefault="00721176">
            <w:pPr>
              <w:pStyle w:val="TableRow"/>
            </w:pPr>
          </w:p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>Training to be provided through One Vision partners.</w:t>
            </w:r>
          </w:p>
          <w:p w:rsidR="00721176" w:rsidRDefault="00721176">
            <w:pPr>
              <w:pStyle w:val="TableRow"/>
            </w:pPr>
          </w:p>
          <w:p w:rsidR="00721176" w:rsidRDefault="00282350">
            <w:pPr>
              <w:pStyle w:val="TableRow"/>
            </w:pPr>
            <w:r>
              <w:t>25 periods of teac</w:t>
            </w:r>
            <w:r>
              <w:t>hing time in English and Maths departmental timetables dedicated to Y11 intervention.</w:t>
            </w:r>
          </w:p>
          <w:p w:rsidR="00721176" w:rsidRDefault="00721176">
            <w:pPr>
              <w:pStyle w:val="TableRow"/>
            </w:pPr>
          </w:p>
        </w:tc>
      </w:tr>
      <w:tr w:rsidR="00721176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176" w:rsidRDefault="00282350">
            <w:pPr>
              <w:pStyle w:val="TableRow"/>
              <w:ind w:left="0"/>
              <w:rPr>
                <w:rFonts w:cs="Calibri"/>
              </w:rPr>
            </w:pPr>
            <w:r>
              <w:rPr>
                <w:rFonts w:cs="Calibri"/>
              </w:rPr>
              <w:t>Wider strategies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rPr>
                <w:rStyle w:val="PlaceholderText"/>
                <w:color w:val="000000"/>
              </w:rPr>
              <w:t>Long term impact is difficult to measure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76" w:rsidRDefault="00282350">
            <w:pPr>
              <w:pStyle w:val="TableRow"/>
            </w:pPr>
            <w:r>
              <w:t>Participation rates to be recorded for personal development activities.</w:t>
            </w:r>
          </w:p>
        </w:tc>
      </w:tr>
    </w:tbl>
    <w:p w:rsidR="00721176" w:rsidRDefault="00721176">
      <w:pPr>
        <w:rPr>
          <w:b/>
          <w:color w:val="104F75"/>
        </w:rPr>
      </w:pPr>
    </w:p>
    <w:sectPr w:rsidR="0072117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276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82350">
      <w:pPr>
        <w:spacing w:after="0" w:line="240" w:lineRule="auto"/>
      </w:pPr>
      <w:r>
        <w:separator/>
      </w:r>
    </w:p>
  </w:endnote>
  <w:endnote w:type="continuationSeparator" w:id="0">
    <w:p w:rsidR="00000000" w:rsidRDefault="0028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05F" w:rsidRDefault="00282350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05F" w:rsidRDefault="00282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82350">
      <w:pPr>
        <w:spacing w:after="0" w:line="240" w:lineRule="auto"/>
      </w:pPr>
      <w:r>
        <w:separator/>
      </w:r>
    </w:p>
  </w:footnote>
  <w:footnote w:type="continuationSeparator" w:id="0">
    <w:p w:rsidR="00000000" w:rsidRDefault="0028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05F" w:rsidRDefault="00282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05F" w:rsidRDefault="00282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79D"/>
    <w:multiLevelType w:val="multilevel"/>
    <w:tmpl w:val="C528307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C17786"/>
    <w:multiLevelType w:val="multilevel"/>
    <w:tmpl w:val="3DF8B9A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CBD5B8C"/>
    <w:multiLevelType w:val="multilevel"/>
    <w:tmpl w:val="9604C0F0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121B3CA2"/>
    <w:multiLevelType w:val="multilevel"/>
    <w:tmpl w:val="B2981B34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2AD395A"/>
    <w:multiLevelType w:val="multilevel"/>
    <w:tmpl w:val="0458EFA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7E35BC"/>
    <w:multiLevelType w:val="multilevel"/>
    <w:tmpl w:val="36E69598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D125E1"/>
    <w:multiLevelType w:val="multilevel"/>
    <w:tmpl w:val="CC429474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C491F7A"/>
    <w:multiLevelType w:val="multilevel"/>
    <w:tmpl w:val="A7226206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C4D31AD"/>
    <w:multiLevelType w:val="multilevel"/>
    <w:tmpl w:val="12BE65EC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D055CF3"/>
    <w:multiLevelType w:val="multilevel"/>
    <w:tmpl w:val="60D4399C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0" w15:restartNumberingAfterBreak="0">
    <w:nsid w:val="2D0E1F7C"/>
    <w:multiLevelType w:val="multilevel"/>
    <w:tmpl w:val="F9501FAA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08F2099"/>
    <w:multiLevelType w:val="multilevel"/>
    <w:tmpl w:val="A5A08500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39106BE"/>
    <w:multiLevelType w:val="multilevel"/>
    <w:tmpl w:val="C72EC97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BCF2B70"/>
    <w:multiLevelType w:val="multilevel"/>
    <w:tmpl w:val="258E0A3A"/>
    <w:lvl w:ilvl="0">
      <w:numFmt w:val="bullet"/>
      <w:lvlText w:val=""/>
      <w:lvlJc w:val="left"/>
      <w:pPr>
        <w:ind w:left="7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14" w15:restartNumberingAfterBreak="0">
    <w:nsid w:val="4BDB62BE"/>
    <w:multiLevelType w:val="multilevel"/>
    <w:tmpl w:val="B1D836E4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FDF5452"/>
    <w:multiLevelType w:val="multilevel"/>
    <w:tmpl w:val="37B47CC2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18A730B"/>
    <w:multiLevelType w:val="multilevel"/>
    <w:tmpl w:val="93326A66"/>
    <w:lvl w:ilvl="0">
      <w:numFmt w:val="bullet"/>
      <w:lvlText w:val=""/>
      <w:lvlJc w:val="left"/>
      <w:pPr>
        <w:ind w:left="7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17" w15:restartNumberingAfterBreak="0">
    <w:nsid w:val="524578AF"/>
    <w:multiLevelType w:val="multilevel"/>
    <w:tmpl w:val="5C94112A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3430614"/>
    <w:multiLevelType w:val="multilevel"/>
    <w:tmpl w:val="DBC23B3A"/>
    <w:lvl w:ilvl="0">
      <w:numFmt w:val="bullet"/>
      <w:lvlText w:val=""/>
      <w:lvlJc w:val="left"/>
      <w:pPr>
        <w:ind w:left="7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19" w15:restartNumberingAfterBreak="0">
    <w:nsid w:val="5E3E442E"/>
    <w:multiLevelType w:val="multilevel"/>
    <w:tmpl w:val="9E607092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E9F3C3B"/>
    <w:multiLevelType w:val="multilevel"/>
    <w:tmpl w:val="BABA1746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21" w15:restartNumberingAfterBreak="0">
    <w:nsid w:val="683B5B16"/>
    <w:multiLevelType w:val="multilevel"/>
    <w:tmpl w:val="4B30EE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BCD6502"/>
    <w:multiLevelType w:val="multilevel"/>
    <w:tmpl w:val="7974B23C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E1D0D86"/>
    <w:multiLevelType w:val="multilevel"/>
    <w:tmpl w:val="FE76B67A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5093D87"/>
    <w:multiLevelType w:val="multilevel"/>
    <w:tmpl w:val="6A34D25A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D0D3904"/>
    <w:multiLevelType w:val="multilevel"/>
    <w:tmpl w:val="1780CAA0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DD40284"/>
    <w:multiLevelType w:val="multilevel"/>
    <w:tmpl w:val="45263456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23"/>
  </w:num>
  <w:num w:numId="3">
    <w:abstractNumId w:val="26"/>
  </w:num>
  <w:num w:numId="4">
    <w:abstractNumId w:val="3"/>
  </w:num>
  <w:num w:numId="5">
    <w:abstractNumId w:val="25"/>
  </w:num>
  <w:num w:numId="6">
    <w:abstractNumId w:val="0"/>
  </w:num>
  <w:num w:numId="7">
    <w:abstractNumId w:val="24"/>
  </w:num>
  <w:num w:numId="8">
    <w:abstractNumId w:val="10"/>
  </w:num>
  <w:num w:numId="9">
    <w:abstractNumId w:val="5"/>
  </w:num>
  <w:num w:numId="10">
    <w:abstractNumId w:val="14"/>
  </w:num>
  <w:num w:numId="11">
    <w:abstractNumId w:val="4"/>
  </w:num>
  <w:num w:numId="12">
    <w:abstractNumId w:val="17"/>
  </w:num>
  <w:num w:numId="13">
    <w:abstractNumId w:val="22"/>
  </w:num>
  <w:num w:numId="14">
    <w:abstractNumId w:val="6"/>
  </w:num>
  <w:num w:numId="15">
    <w:abstractNumId w:val="21"/>
  </w:num>
  <w:num w:numId="16">
    <w:abstractNumId w:val="12"/>
  </w:num>
  <w:num w:numId="17">
    <w:abstractNumId w:val="2"/>
  </w:num>
  <w:num w:numId="18">
    <w:abstractNumId w:val="11"/>
  </w:num>
  <w:num w:numId="19">
    <w:abstractNumId w:val="19"/>
  </w:num>
  <w:num w:numId="20">
    <w:abstractNumId w:val="1"/>
  </w:num>
  <w:num w:numId="21">
    <w:abstractNumId w:val="8"/>
  </w:num>
  <w:num w:numId="22">
    <w:abstractNumId w:val="15"/>
  </w:num>
  <w:num w:numId="23">
    <w:abstractNumId w:val="20"/>
  </w:num>
  <w:num w:numId="24">
    <w:abstractNumId w:val="9"/>
  </w:num>
  <w:num w:numId="25">
    <w:abstractNumId w:val="18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21176"/>
    <w:rsid w:val="00282350"/>
    <w:rsid w:val="0072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E2B15-96F0-44AD-924E-C7642214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semiHidden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5">
    <w:name w:val="WW_OutlineListStyle_15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19"/>
      </w:numPr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18"/>
      </w:numPr>
    </w:pPr>
  </w:style>
  <w:style w:type="paragraph" w:styleId="ListParagraph">
    <w:name w:val="List Paragraph"/>
    <w:basedOn w:val="Normal"/>
    <w:pPr>
      <w:numPr>
        <w:numId w:val="22"/>
      </w:numPr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17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20"/>
      </w:numPr>
      <w:tabs>
        <w:tab w:val="left" w:pos="-8511"/>
      </w:tabs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21"/>
      </w:numPr>
    </w:pPr>
  </w:style>
  <w:style w:type="paragraph" w:customStyle="1" w:styleId="DfESOutNumbered">
    <w:name w:val="DfESOutNumbered"/>
    <w:basedOn w:val="Normal"/>
    <w:pPr>
      <w:widowControl w:val="0"/>
      <w:numPr>
        <w:numId w:val="23"/>
      </w:numPr>
      <w:overflowPunct w:val="0"/>
      <w:autoSpaceDE w:val="0"/>
      <w:spacing w:line="240" w:lineRule="auto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24"/>
      </w:numPr>
      <w:overflowPunct w:val="0"/>
      <w:autoSpaceDE w:val="0"/>
      <w:spacing w:line="240" w:lineRule="auto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NoSpacing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yle1">
    <w:name w:val="Style1"/>
    <w:basedOn w:val="DefaultParagraphFont"/>
    <w:rPr>
      <w:rFonts w:ascii="Arial" w:hAnsi="Arial"/>
      <w:b/>
      <w:sz w:val="24"/>
    </w:rPr>
  </w:style>
  <w:style w:type="numbering" w:customStyle="1" w:styleId="WWOutlineListStyle14">
    <w:name w:val="WW_OutlineListStyle_14"/>
    <w:basedOn w:val="NoList"/>
    <w:pPr>
      <w:numPr>
        <w:numId w:val="2"/>
      </w:numPr>
    </w:pPr>
  </w:style>
  <w:style w:type="numbering" w:customStyle="1" w:styleId="WWOutlineListStyle13">
    <w:name w:val="WW_OutlineListStyle_13"/>
    <w:basedOn w:val="NoList"/>
    <w:pPr>
      <w:numPr>
        <w:numId w:val="3"/>
      </w:numPr>
    </w:pPr>
  </w:style>
  <w:style w:type="numbering" w:customStyle="1" w:styleId="WWOutlineListStyle12">
    <w:name w:val="WW_OutlineListStyle_12"/>
    <w:basedOn w:val="NoList"/>
    <w:pPr>
      <w:numPr>
        <w:numId w:val="4"/>
      </w:numPr>
    </w:pPr>
  </w:style>
  <w:style w:type="numbering" w:customStyle="1" w:styleId="WWOutlineListStyle11">
    <w:name w:val="WW_OutlineListStyle_11"/>
    <w:basedOn w:val="NoList"/>
    <w:pPr>
      <w:numPr>
        <w:numId w:val="5"/>
      </w:numPr>
    </w:pPr>
  </w:style>
  <w:style w:type="numbering" w:customStyle="1" w:styleId="WWOutlineListStyle10">
    <w:name w:val="WW_OutlineListStyle_10"/>
    <w:basedOn w:val="NoList"/>
    <w:pPr>
      <w:numPr>
        <w:numId w:val="6"/>
      </w:numPr>
    </w:pPr>
  </w:style>
  <w:style w:type="numbering" w:customStyle="1" w:styleId="WWOutlineListStyle9">
    <w:name w:val="WW_OutlineListStyle_9"/>
    <w:basedOn w:val="NoList"/>
    <w:pPr>
      <w:numPr>
        <w:numId w:val="7"/>
      </w:numPr>
    </w:pPr>
  </w:style>
  <w:style w:type="numbering" w:customStyle="1" w:styleId="WWOutlineListStyle8">
    <w:name w:val="WW_OutlineListStyle_8"/>
    <w:basedOn w:val="NoList"/>
    <w:pPr>
      <w:numPr>
        <w:numId w:val="8"/>
      </w:numPr>
    </w:pPr>
  </w:style>
  <w:style w:type="numbering" w:customStyle="1" w:styleId="WWOutlineListStyle7">
    <w:name w:val="WW_OutlineListStyle_7"/>
    <w:basedOn w:val="NoList"/>
    <w:pPr>
      <w:numPr>
        <w:numId w:val="9"/>
      </w:numPr>
    </w:pPr>
  </w:style>
  <w:style w:type="numbering" w:customStyle="1" w:styleId="WWOutlineListStyle6">
    <w:name w:val="WW_OutlineListStyle_6"/>
    <w:basedOn w:val="NoList"/>
    <w:pPr>
      <w:numPr>
        <w:numId w:val="10"/>
      </w:numPr>
    </w:pPr>
  </w:style>
  <w:style w:type="numbering" w:customStyle="1" w:styleId="WWOutlineListStyle5">
    <w:name w:val="WW_OutlineListStyle_5"/>
    <w:basedOn w:val="NoList"/>
    <w:pPr>
      <w:numPr>
        <w:numId w:val="11"/>
      </w:numPr>
    </w:pPr>
  </w:style>
  <w:style w:type="numbering" w:customStyle="1" w:styleId="WWOutlineListStyle4">
    <w:name w:val="WW_OutlineListStyle_4"/>
    <w:basedOn w:val="NoList"/>
    <w:pPr>
      <w:numPr>
        <w:numId w:val="12"/>
      </w:numPr>
    </w:pPr>
  </w:style>
  <w:style w:type="numbering" w:customStyle="1" w:styleId="WWOutlineListStyle3">
    <w:name w:val="WW_OutlineListStyle_3"/>
    <w:basedOn w:val="NoList"/>
    <w:pPr>
      <w:numPr>
        <w:numId w:val="13"/>
      </w:numPr>
    </w:pPr>
  </w:style>
  <w:style w:type="numbering" w:customStyle="1" w:styleId="WWOutlineListStyle2">
    <w:name w:val="WW_OutlineListStyle_2"/>
    <w:basedOn w:val="NoList"/>
    <w:pPr>
      <w:numPr>
        <w:numId w:val="14"/>
      </w:numPr>
    </w:pPr>
  </w:style>
  <w:style w:type="numbering" w:customStyle="1" w:styleId="WWOutlineListStyle1">
    <w:name w:val="WW_OutlineListStyle_1"/>
    <w:basedOn w:val="NoList"/>
    <w:pPr>
      <w:numPr>
        <w:numId w:val="15"/>
      </w:numPr>
    </w:pPr>
  </w:style>
  <w:style w:type="numbering" w:customStyle="1" w:styleId="WWOutlineListStyle">
    <w:name w:val="WW_OutlineListStyle"/>
    <w:basedOn w:val="NoList"/>
    <w:pPr>
      <w:numPr>
        <w:numId w:val="16"/>
      </w:numPr>
    </w:pPr>
  </w:style>
  <w:style w:type="numbering" w:customStyle="1" w:styleId="LFO3">
    <w:name w:val="LFO3"/>
    <w:basedOn w:val="NoList"/>
    <w:pPr>
      <w:numPr>
        <w:numId w:val="17"/>
      </w:numPr>
    </w:pPr>
  </w:style>
  <w:style w:type="numbering" w:customStyle="1" w:styleId="LFO4">
    <w:name w:val="LFO4"/>
    <w:basedOn w:val="NoList"/>
    <w:pPr>
      <w:numPr>
        <w:numId w:val="18"/>
      </w:numPr>
    </w:pPr>
  </w:style>
  <w:style w:type="numbering" w:customStyle="1" w:styleId="LFO6">
    <w:name w:val="LFO6"/>
    <w:basedOn w:val="NoList"/>
    <w:pPr>
      <w:numPr>
        <w:numId w:val="19"/>
      </w:numPr>
    </w:pPr>
  </w:style>
  <w:style w:type="numbering" w:customStyle="1" w:styleId="LFO9">
    <w:name w:val="LFO9"/>
    <w:basedOn w:val="NoList"/>
    <w:pPr>
      <w:numPr>
        <w:numId w:val="20"/>
      </w:numPr>
    </w:pPr>
  </w:style>
  <w:style w:type="numbering" w:customStyle="1" w:styleId="LFO10">
    <w:name w:val="LFO10"/>
    <w:basedOn w:val="NoList"/>
    <w:pPr>
      <w:numPr>
        <w:numId w:val="21"/>
      </w:numPr>
    </w:pPr>
  </w:style>
  <w:style w:type="numbering" w:customStyle="1" w:styleId="LFO25">
    <w:name w:val="LFO25"/>
    <w:basedOn w:val="NoList"/>
    <w:pPr>
      <w:numPr>
        <w:numId w:val="22"/>
      </w:numPr>
    </w:pPr>
  </w:style>
  <w:style w:type="numbering" w:customStyle="1" w:styleId="LFO28">
    <w:name w:val="LFO28"/>
    <w:basedOn w:val="NoList"/>
    <w:pPr>
      <w:numPr>
        <w:numId w:val="23"/>
      </w:numPr>
    </w:pPr>
  </w:style>
  <w:style w:type="numbering" w:customStyle="1" w:styleId="LFO30">
    <w:name w:val="LFO30"/>
    <w:basedOn w:val="NoList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/>
  <cp:lastModifiedBy>Taylor, Gemma</cp:lastModifiedBy>
  <cp:revision>2</cp:revision>
  <cp:lastPrinted>2014-09-17T13:26:00Z</cp:lastPrinted>
  <dcterms:created xsi:type="dcterms:W3CDTF">2020-11-30T10:34:00Z</dcterms:created>
  <dcterms:modified xsi:type="dcterms:W3CDTF">2020-11-30T10:34:00Z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0x01010022750D5BE7A88C42804B8E4A0687CDF5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