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94676" w14:textId="77777777" w:rsidR="00B31621" w:rsidRDefault="003B6206">
      <w:pPr>
        <w:spacing w:after="0" w:line="259" w:lineRule="auto"/>
        <w:ind w:left="0" w:right="0" w:firstLine="0"/>
        <w:jc w:val="left"/>
      </w:pPr>
      <w:r>
        <w:rPr>
          <w:sz w:val="23"/>
        </w:rPr>
        <w:t xml:space="preserve"> </w:t>
      </w:r>
    </w:p>
    <w:p w14:paraId="1F10ED1E" w14:textId="77777777" w:rsidR="00B31621" w:rsidRDefault="003B6206">
      <w:pPr>
        <w:spacing w:after="0" w:line="259" w:lineRule="auto"/>
        <w:ind w:left="598" w:right="0" w:firstLine="0"/>
        <w:jc w:val="left"/>
      </w:pPr>
      <w:r>
        <w:rPr>
          <w:noProof/>
        </w:rPr>
        <w:drawing>
          <wp:inline distT="0" distB="0" distL="0" distR="0" wp14:anchorId="01146FEB" wp14:editId="7C4BFF68">
            <wp:extent cx="4842342" cy="30861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42342" cy="3086100"/>
                    </a:xfrm>
                    <a:prstGeom prst="rect">
                      <a:avLst/>
                    </a:prstGeom>
                  </pic:spPr>
                </pic:pic>
              </a:graphicData>
            </a:graphic>
          </wp:inline>
        </w:drawing>
      </w:r>
    </w:p>
    <w:p w14:paraId="67655FFA" w14:textId="77777777" w:rsidR="00B31621" w:rsidRDefault="003B6206">
      <w:pPr>
        <w:spacing w:after="139" w:line="259" w:lineRule="auto"/>
        <w:ind w:left="598" w:right="558" w:firstLine="0"/>
        <w:jc w:val="right"/>
      </w:pPr>
      <w:r>
        <w:rPr>
          <w:sz w:val="23"/>
        </w:rPr>
        <w:t xml:space="preserve"> </w:t>
      </w:r>
    </w:p>
    <w:p w14:paraId="371FEFFC" w14:textId="77777777" w:rsidR="00B31621" w:rsidRDefault="003B6206">
      <w:pPr>
        <w:spacing w:after="694" w:line="259" w:lineRule="auto"/>
        <w:ind w:left="0" w:right="1038" w:firstLine="0"/>
        <w:jc w:val="center"/>
      </w:pPr>
      <w:r>
        <w:rPr>
          <w:sz w:val="23"/>
        </w:rPr>
        <w:t xml:space="preserve"> </w:t>
      </w:r>
    </w:p>
    <w:p w14:paraId="5F465B2E" w14:textId="77777777" w:rsidR="00B31621" w:rsidRPr="003B6206" w:rsidRDefault="003B6206">
      <w:pPr>
        <w:spacing w:after="0" w:line="332" w:lineRule="auto"/>
        <w:ind w:left="264" w:right="124" w:firstLine="0"/>
        <w:jc w:val="center"/>
        <w:rPr>
          <w:color w:val="0070C0"/>
        </w:rPr>
      </w:pPr>
      <w:r w:rsidRPr="003B6206">
        <w:rPr>
          <w:b/>
          <w:color w:val="0070C0"/>
          <w:sz w:val="72"/>
        </w:rPr>
        <w:t xml:space="preserve">EDUCATIONAL VISITS POLICY </w:t>
      </w:r>
    </w:p>
    <w:p w14:paraId="2924DC3D" w14:textId="77777777" w:rsidR="00B31621" w:rsidRDefault="003B6206">
      <w:pPr>
        <w:spacing w:after="199" w:line="259" w:lineRule="auto"/>
        <w:ind w:left="0" w:right="1038" w:firstLine="0"/>
        <w:jc w:val="center"/>
      </w:pPr>
      <w:r>
        <w:rPr>
          <w:sz w:val="23"/>
        </w:rPr>
        <w:t xml:space="preserve"> </w:t>
      </w:r>
    </w:p>
    <w:p w14:paraId="0621D28D" w14:textId="77777777" w:rsidR="00B31621" w:rsidRDefault="003B6206">
      <w:pPr>
        <w:spacing w:after="244" w:line="259" w:lineRule="auto"/>
        <w:ind w:left="0" w:right="1038" w:firstLine="0"/>
        <w:jc w:val="center"/>
      </w:pPr>
      <w:r>
        <w:rPr>
          <w:sz w:val="23"/>
        </w:rPr>
        <w:t xml:space="preserve"> </w:t>
      </w:r>
    </w:p>
    <w:p w14:paraId="5A971C26" w14:textId="77777777" w:rsidR="00B31621" w:rsidRDefault="003B6206">
      <w:pPr>
        <w:spacing w:after="224" w:line="259" w:lineRule="auto"/>
        <w:ind w:left="0" w:right="1035" w:firstLine="0"/>
        <w:jc w:val="center"/>
      </w:pPr>
      <w:r>
        <w:t xml:space="preserve"> </w:t>
      </w:r>
    </w:p>
    <w:p w14:paraId="721FCF18" w14:textId="77777777" w:rsidR="00B31621" w:rsidRDefault="003B6206">
      <w:pPr>
        <w:spacing w:after="0" w:line="259" w:lineRule="auto"/>
        <w:ind w:left="0" w:right="1035" w:firstLine="0"/>
        <w:jc w:val="center"/>
      </w:pPr>
      <w:r>
        <w:t xml:space="preserve"> </w:t>
      </w:r>
    </w:p>
    <w:tbl>
      <w:tblPr>
        <w:tblStyle w:val="TableGrid"/>
        <w:tblW w:w="9089" w:type="dxa"/>
        <w:tblInd w:w="-2" w:type="dxa"/>
        <w:tblCellMar>
          <w:right w:w="115" w:type="dxa"/>
        </w:tblCellMar>
        <w:tblLook w:val="04A0" w:firstRow="1" w:lastRow="0" w:firstColumn="1" w:lastColumn="0" w:noHBand="0" w:noVBand="1"/>
      </w:tblPr>
      <w:tblGrid>
        <w:gridCol w:w="9"/>
        <w:gridCol w:w="2289"/>
        <w:gridCol w:w="957"/>
        <w:gridCol w:w="5003"/>
        <w:gridCol w:w="680"/>
        <w:gridCol w:w="151"/>
      </w:tblGrid>
      <w:tr w:rsidR="00B31621" w14:paraId="572A5BF1" w14:textId="77777777" w:rsidTr="003B6206">
        <w:trPr>
          <w:gridBefore w:val="1"/>
          <w:gridAfter w:val="1"/>
          <w:wBefore w:w="9" w:type="dxa"/>
          <w:wAfter w:w="151" w:type="dxa"/>
          <w:trHeight w:val="501"/>
        </w:trPr>
        <w:tc>
          <w:tcPr>
            <w:tcW w:w="2289" w:type="dxa"/>
            <w:tcBorders>
              <w:top w:val="single" w:sz="6" w:space="0" w:color="000000"/>
              <w:left w:val="single" w:sz="6" w:space="0" w:color="000000"/>
              <w:bottom w:val="nil"/>
              <w:right w:val="nil"/>
            </w:tcBorders>
            <w:vAlign w:val="center"/>
          </w:tcPr>
          <w:p w14:paraId="4958BE22" w14:textId="77777777" w:rsidR="00B31621" w:rsidRDefault="003B6206">
            <w:pPr>
              <w:tabs>
                <w:tab w:val="center" w:pos="1594"/>
              </w:tabs>
              <w:spacing w:after="0" w:line="259" w:lineRule="auto"/>
              <w:ind w:left="0" w:right="0" w:firstLine="0"/>
              <w:jc w:val="left"/>
            </w:pPr>
            <w:r>
              <w:rPr>
                <w:b/>
                <w:sz w:val="23"/>
              </w:rPr>
              <w:t>Policy date:</w:t>
            </w:r>
            <w:r>
              <w:rPr>
                <w:sz w:val="23"/>
              </w:rPr>
              <w:t xml:space="preserve"> </w:t>
            </w:r>
            <w:r>
              <w:rPr>
                <w:sz w:val="23"/>
              </w:rPr>
              <w:tab/>
              <w:t xml:space="preserve"> </w:t>
            </w:r>
          </w:p>
        </w:tc>
        <w:tc>
          <w:tcPr>
            <w:tcW w:w="957" w:type="dxa"/>
            <w:tcBorders>
              <w:top w:val="single" w:sz="6" w:space="0" w:color="000000"/>
              <w:left w:val="nil"/>
              <w:bottom w:val="nil"/>
              <w:right w:val="nil"/>
            </w:tcBorders>
            <w:vAlign w:val="center"/>
          </w:tcPr>
          <w:p w14:paraId="6C830646" w14:textId="77777777" w:rsidR="00B31621" w:rsidRDefault="003B6206">
            <w:pPr>
              <w:spacing w:after="0" w:line="259" w:lineRule="auto"/>
              <w:ind w:left="0" w:right="0" w:firstLine="0"/>
              <w:jc w:val="left"/>
            </w:pPr>
            <w:r>
              <w:rPr>
                <w:sz w:val="23"/>
              </w:rPr>
              <w:t xml:space="preserve"> </w:t>
            </w:r>
          </w:p>
        </w:tc>
        <w:tc>
          <w:tcPr>
            <w:tcW w:w="5683" w:type="dxa"/>
            <w:gridSpan w:val="2"/>
            <w:tcBorders>
              <w:top w:val="single" w:sz="6" w:space="0" w:color="000000"/>
              <w:left w:val="nil"/>
              <w:bottom w:val="nil"/>
              <w:right w:val="single" w:sz="6" w:space="0" w:color="000000"/>
            </w:tcBorders>
            <w:vAlign w:val="center"/>
          </w:tcPr>
          <w:p w14:paraId="7994A928" w14:textId="24F4E1CF" w:rsidR="00B31621" w:rsidRDefault="00B31621">
            <w:pPr>
              <w:spacing w:after="0" w:line="259" w:lineRule="auto"/>
              <w:ind w:left="0" w:right="0" w:firstLine="0"/>
              <w:jc w:val="left"/>
            </w:pPr>
          </w:p>
        </w:tc>
      </w:tr>
      <w:tr w:rsidR="00B31621" w14:paraId="08A3B874" w14:textId="77777777" w:rsidTr="003B6206">
        <w:trPr>
          <w:gridBefore w:val="1"/>
          <w:gridAfter w:val="1"/>
          <w:wBefore w:w="9" w:type="dxa"/>
          <w:wAfter w:w="151" w:type="dxa"/>
          <w:trHeight w:val="533"/>
        </w:trPr>
        <w:tc>
          <w:tcPr>
            <w:tcW w:w="2289" w:type="dxa"/>
            <w:tcBorders>
              <w:top w:val="nil"/>
              <w:left w:val="single" w:sz="6" w:space="0" w:color="000000"/>
              <w:bottom w:val="nil"/>
              <w:right w:val="nil"/>
            </w:tcBorders>
          </w:tcPr>
          <w:p w14:paraId="0F16027F" w14:textId="77777777" w:rsidR="00B31621" w:rsidRDefault="003B6206">
            <w:pPr>
              <w:spacing w:after="0" w:line="259" w:lineRule="auto"/>
              <w:ind w:left="152" w:right="0" w:firstLine="0"/>
              <w:jc w:val="left"/>
            </w:pPr>
            <w:r>
              <w:rPr>
                <w:b/>
                <w:sz w:val="23"/>
              </w:rPr>
              <w:t xml:space="preserve"> </w:t>
            </w:r>
          </w:p>
          <w:p w14:paraId="5A6A82B9" w14:textId="77777777" w:rsidR="00B31621" w:rsidRDefault="003B6206">
            <w:pPr>
              <w:tabs>
                <w:tab w:val="center" w:pos="1594"/>
              </w:tabs>
              <w:spacing w:after="0" w:line="259" w:lineRule="auto"/>
              <w:ind w:left="0" w:right="0" w:firstLine="0"/>
              <w:jc w:val="left"/>
            </w:pPr>
            <w:r>
              <w:rPr>
                <w:b/>
                <w:sz w:val="23"/>
              </w:rPr>
              <w:t>Review date:</w:t>
            </w:r>
            <w:r>
              <w:rPr>
                <w:sz w:val="23"/>
              </w:rPr>
              <w:t xml:space="preserve"> </w:t>
            </w:r>
            <w:r>
              <w:rPr>
                <w:sz w:val="23"/>
              </w:rPr>
              <w:tab/>
              <w:t xml:space="preserve"> </w:t>
            </w:r>
          </w:p>
          <w:p w14:paraId="4325E313" w14:textId="77777777" w:rsidR="00B31621" w:rsidRDefault="003B6206">
            <w:pPr>
              <w:spacing w:after="0" w:line="259" w:lineRule="auto"/>
              <w:ind w:left="152" w:right="0" w:firstLine="0"/>
              <w:jc w:val="left"/>
            </w:pPr>
            <w:r>
              <w:rPr>
                <w:sz w:val="23"/>
              </w:rPr>
              <w:t xml:space="preserve"> </w:t>
            </w:r>
          </w:p>
        </w:tc>
        <w:tc>
          <w:tcPr>
            <w:tcW w:w="957" w:type="dxa"/>
            <w:tcBorders>
              <w:top w:val="nil"/>
              <w:left w:val="nil"/>
              <w:bottom w:val="nil"/>
              <w:right w:val="nil"/>
            </w:tcBorders>
            <w:vAlign w:val="center"/>
          </w:tcPr>
          <w:p w14:paraId="1F853103" w14:textId="77777777" w:rsidR="00B31621" w:rsidRDefault="003B6206">
            <w:pPr>
              <w:spacing w:after="0" w:line="259" w:lineRule="auto"/>
              <w:ind w:left="0" w:right="0" w:firstLine="0"/>
              <w:jc w:val="left"/>
            </w:pPr>
            <w:r>
              <w:rPr>
                <w:sz w:val="23"/>
              </w:rPr>
              <w:t xml:space="preserve"> </w:t>
            </w:r>
          </w:p>
        </w:tc>
        <w:tc>
          <w:tcPr>
            <w:tcW w:w="5683" w:type="dxa"/>
            <w:gridSpan w:val="2"/>
            <w:tcBorders>
              <w:top w:val="nil"/>
              <w:left w:val="nil"/>
              <w:bottom w:val="nil"/>
              <w:right w:val="single" w:sz="6" w:space="0" w:color="000000"/>
            </w:tcBorders>
            <w:vAlign w:val="center"/>
          </w:tcPr>
          <w:p w14:paraId="53B60326" w14:textId="79D29730" w:rsidR="00B31621" w:rsidRDefault="00B31621">
            <w:pPr>
              <w:spacing w:after="0" w:line="259" w:lineRule="auto"/>
              <w:ind w:left="0" w:right="0" w:firstLine="0"/>
              <w:jc w:val="left"/>
            </w:pPr>
          </w:p>
        </w:tc>
      </w:tr>
      <w:tr w:rsidR="00B31621" w14:paraId="2C514AC9" w14:textId="77777777" w:rsidTr="003B6206">
        <w:trPr>
          <w:gridBefore w:val="1"/>
          <w:gridAfter w:val="1"/>
          <w:wBefore w:w="9" w:type="dxa"/>
          <w:wAfter w:w="151" w:type="dxa"/>
          <w:trHeight w:val="522"/>
        </w:trPr>
        <w:tc>
          <w:tcPr>
            <w:tcW w:w="2289" w:type="dxa"/>
            <w:tcBorders>
              <w:top w:val="nil"/>
              <w:left w:val="single" w:sz="6" w:space="0" w:color="000000"/>
              <w:bottom w:val="nil"/>
              <w:right w:val="nil"/>
            </w:tcBorders>
            <w:vAlign w:val="center"/>
          </w:tcPr>
          <w:p w14:paraId="0BE7DFFC" w14:textId="77777777" w:rsidR="00B31621" w:rsidRDefault="003B6206">
            <w:pPr>
              <w:spacing w:after="0" w:line="259" w:lineRule="auto"/>
              <w:ind w:left="152" w:right="0" w:firstLine="0"/>
              <w:jc w:val="left"/>
            </w:pPr>
            <w:r>
              <w:rPr>
                <w:b/>
                <w:sz w:val="23"/>
              </w:rPr>
              <w:t xml:space="preserve">Chair of Governors: </w:t>
            </w:r>
          </w:p>
        </w:tc>
        <w:tc>
          <w:tcPr>
            <w:tcW w:w="957" w:type="dxa"/>
            <w:tcBorders>
              <w:top w:val="nil"/>
              <w:left w:val="nil"/>
              <w:bottom w:val="nil"/>
              <w:right w:val="nil"/>
            </w:tcBorders>
            <w:vAlign w:val="center"/>
          </w:tcPr>
          <w:p w14:paraId="59886F9B" w14:textId="77777777" w:rsidR="00B31621" w:rsidRDefault="003B6206">
            <w:pPr>
              <w:spacing w:after="0" w:line="259" w:lineRule="auto"/>
              <w:ind w:left="0" w:right="0" w:firstLine="0"/>
              <w:jc w:val="left"/>
            </w:pPr>
            <w:r>
              <w:rPr>
                <w:b/>
                <w:sz w:val="23"/>
              </w:rPr>
              <w:t xml:space="preserve"> </w:t>
            </w:r>
          </w:p>
        </w:tc>
        <w:tc>
          <w:tcPr>
            <w:tcW w:w="5683" w:type="dxa"/>
            <w:gridSpan w:val="2"/>
            <w:tcBorders>
              <w:top w:val="nil"/>
              <w:left w:val="nil"/>
              <w:bottom w:val="nil"/>
              <w:right w:val="single" w:sz="6" w:space="0" w:color="000000"/>
            </w:tcBorders>
            <w:vAlign w:val="center"/>
          </w:tcPr>
          <w:p w14:paraId="622E7BD3" w14:textId="3A8CC791" w:rsidR="00B31621" w:rsidRDefault="003B6206">
            <w:pPr>
              <w:spacing w:after="0" w:line="259" w:lineRule="auto"/>
              <w:ind w:left="0" w:right="0" w:firstLine="0"/>
              <w:jc w:val="left"/>
            </w:pPr>
            <w:r>
              <w:rPr>
                <w:sz w:val="23"/>
              </w:rPr>
              <w:t xml:space="preserve">Anne Malcolm </w:t>
            </w:r>
          </w:p>
        </w:tc>
      </w:tr>
      <w:tr w:rsidR="00B31621" w14:paraId="0E9F7387" w14:textId="77777777" w:rsidTr="003B6206">
        <w:trPr>
          <w:gridBefore w:val="1"/>
          <w:gridAfter w:val="1"/>
          <w:wBefore w:w="9" w:type="dxa"/>
          <w:wAfter w:w="151" w:type="dxa"/>
          <w:trHeight w:val="1505"/>
        </w:trPr>
        <w:tc>
          <w:tcPr>
            <w:tcW w:w="2289" w:type="dxa"/>
            <w:tcBorders>
              <w:top w:val="nil"/>
              <w:left w:val="single" w:sz="6" w:space="0" w:color="000000"/>
              <w:bottom w:val="single" w:sz="6" w:space="0" w:color="000000"/>
              <w:right w:val="nil"/>
            </w:tcBorders>
          </w:tcPr>
          <w:p w14:paraId="45AEC188" w14:textId="77777777" w:rsidR="00B31621" w:rsidRDefault="003B6206">
            <w:pPr>
              <w:spacing w:after="0" w:line="259" w:lineRule="auto"/>
              <w:ind w:left="152" w:right="0" w:firstLine="0"/>
              <w:jc w:val="left"/>
            </w:pPr>
            <w:r>
              <w:rPr>
                <w:sz w:val="23"/>
              </w:rPr>
              <w:t xml:space="preserve"> </w:t>
            </w:r>
          </w:p>
          <w:p w14:paraId="5C43674E" w14:textId="77777777" w:rsidR="00B31621" w:rsidRDefault="003B6206">
            <w:pPr>
              <w:spacing w:after="214" w:line="259" w:lineRule="auto"/>
              <w:ind w:left="152" w:right="0" w:firstLine="0"/>
              <w:jc w:val="left"/>
            </w:pPr>
            <w:r>
              <w:rPr>
                <w:b/>
                <w:sz w:val="23"/>
              </w:rPr>
              <w:t xml:space="preserve">Governors Approval: </w:t>
            </w:r>
          </w:p>
          <w:p w14:paraId="20DF0091" w14:textId="77777777" w:rsidR="00B31621" w:rsidRDefault="003B6206">
            <w:pPr>
              <w:spacing w:after="0" w:line="259" w:lineRule="auto"/>
              <w:ind w:left="152" w:right="0" w:firstLine="0"/>
              <w:jc w:val="left"/>
            </w:pPr>
            <w:r>
              <w:rPr>
                <w:b/>
                <w:sz w:val="23"/>
              </w:rPr>
              <w:t xml:space="preserve"> </w:t>
            </w:r>
          </w:p>
          <w:p w14:paraId="26257D5D" w14:textId="77777777" w:rsidR="00B31621" w:rsidRDefault="003B6206">
            <w:pPr>
              <w:spacing w:after="0" w:line="259" w:lineRule="auto"/>
              <w:ind w:left="152" w:right="0" w:firstLine="0"/>
              <w:jc w:val="left"/>
            </w:pPr>
            <w:r>
              <w:rPr>
                <w:sz w:val="23"/>
              </w:rPr>
              <w:t xml:space="preserve"> </w:t>
            </w:r>
          </w:p>
        </w:tc>
        <w:tc>
          <w:tcPr>
            <w:tcW w:w="957" w:type="dxa"/>
            <w:tcBorders>
              <w:top w:val="nil"/>
              <w:left w:val="nil"/>
              <w:bottom w:val="single" w:sz="6" w:space="0" w:color="000000"/>
              <w:right w:val="nil"/>
            </w:tcBorders>
          </w:tcPr>
          <w:p w14:paraId="07472597" w14:textId="77777777" w:rsidR="00B31621" w:rsidRDefault="003B6206">
            <w:pPr>
              <w:spacing w:after="0" w:line="259" w:lineRule="auto"/>
              <w:ind w:left="0" w:right="0" w:firstLine="0"/>
              <w:jc w:val="left"/>
            </w:pPr>
            <w:r>
              <w:rPr>
                <w:b/>
                <w:sz w:val="23"/>
              </w:rPr>
              <w:t xml:space="preserve">  </w:t>
            </w:r>
          </w:p>
        </w:tc>
        <w:tc>
          <w:tcPr>
            <w:tcW w:w="5683" w:type="dxa"/>
            <w:gridSpan w:val="2"/>
            <w:tcBorders>
              <w:top w:val="nil"/>
              <w:left w:val="nil"/>
              <w:bottom w:val="single" w:sz="6" w:space="0" w:color="000000"/>
              <w:right w:val="single" w:sz="6" w:space="0" w:color="000000"/>
            </w:tcBorders>
          </w:tcPr>
          <w:p w14:paraId="7A2F9035" w14:textId="77777777" w:rsidR="003B6206" w:rsidRDefault="003B6206">
            <w:pPr>
              <w:spacing w:after="0" w:line="259" w:lineRule="auto"/>
              <w:ind w:left="0" w:right="0" w:firstLine="0"/>
              <w:jc w:val="left"/>
              <w:rPr>
                <w:sz w:val="23"/>
              </w:rPr>
            </w:pPr>
          </w:p>
          <w:p w14:paraId="4F79CC4D" w14:textId="1EFEF497" w:rsidR="00B31621" w:rsidRDefault="00B31621">
            <w:pPr>
              <w:spacing w:after="0" w:line="259" w:lineRule="auto"/>
              <w:ind w:left="0" w:right="0" w:firstLine="0"/>
              <w:jc w:val="left"/>
            </w:pPr>
          </w:p>
        </w:tc>
      </w:tr>
      <w:tr w:rsidR="00B31621" w14:paraId="36B1D969" w14:textId="77777777" w:rsidTr="003B6206">
        <w:tblPrEx>
          <w:tblCellMar>
            <w:right w:w="0" w:type="dxa"/>
          </w:tblCellMar>
        </w:tblPrEx>
        <w:trPr>
          <w:trHeight w:val="415"/>
        </w:trPr>
        <w:tc>
          <w:tcPr>
            <w:tcW w:w="8258" w:type="dxa"/>
            <w:gridSpan w:val="4"/>
            <w:tcBorders>
              <w:top w:val="nil"/>
              <w:left w:val="nil"/>
              <w:bottom w:val="nil"/>
              <w:right w:val="nil"/>
            </w:tcBorders>
          </w:tcPr>
          <w:p w14:paraId="161FB572" w14:textId="77777777" w:rsidR="00B31621" w:rsidRDefault="003B6206">
            <w:pPr>
              <w:tabs>
                <w:tab w:val="center" w:pos="1547"/>
                <w:tab w:val="center" w:pos="2268"/>
                <w:tab w:val="center" w:pos="2989"/>
                <w:tab w:val="center" w:pos="3710"/>
                <w:tab w:val="center" w:pos="4431"/>
                <w:tab w:val="center" w:pos="5152"/>
                <w:tab w:val="center" w:pos="5873"/>
                <w:tab w:val="center" w:pos="6594"/>
                <w:tab w:val="center" w:pos="7314"/>
                <w:tab w:val="center" w:pos="8036"/>
              </w:tabs>
              <w:spacing w:after="0" w:line="259" w:lineRule="auto"/>
              <w:ind w:left="0" w:right="0" w:firstLine="0"/>
              <w:jc w:val="left"/>
            </w:pPr>
            <w:r>
              <w:rPr>
                <w:b/>
              </w:rPr>
              <w:lastRenderedPageBreak/>
              <w:t xml:space="preserve">Contents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tc>
        <w:tc>
          <w:tcPr>
            <w:tcW w:w="831" w:type="dxa"/>
            <w:gridSpan w:val="2"/>
            <w:tcBorders>
              <w:top w:val="nil"/>
              <w:left w:val="nil"/>
              <w:bottom w:val="nil"/>
              <w:right w:val="nil"/>
            </w:tcBorders>
          </w:tcPr>
          <w:p w14:paraId="5980A11E" w14:textId="77777777" w:rsidR="00B31621" w:rsidRDefault="003B6206">
            <w:pPr>
              <w:spacing w:after="0" w:line="259" w:lineRule="auto"/>
              <w:ind w:left="0" w:right="0" w:firstLine="0"/>
              <w:jc w:val="left"/>
            </w:pPr>
            <w:r>
              <w:rPr>
                <w:b/>
              </w:rPr>
              <w:t xml:space="preserve">Page </w:t>
            </w:r>
          </w:p>
        </w:tc>
      </w:tr>
      <w:tr w:rsidR="00B31621" w14:paraId="676C1214" w14:textId="77777777" w:rsidTr="003B6206">
        <w:tblPrEx>
          <w:tblCellMar>
            <w:right w:w="0" w:type="dxa"/>
          </w:tblCellMar>
        </w:tblPrEx>
        <w:trPr>
          <w:trHeight w:val="719"/>
        </w:trPr>
        <w:tc>
          <w:tcPr>
            <w:tcW w:w="8258" w:type="dxa"/>
            <w:gridSpan w:val="4"/>
            <w:tcBorders>
              <w:top w:val="nil"/>
              <w:left w:val="nil"/>
              <w:bottom w:val="single" w:sz="6" w:space="0" w:color="000000"/>
              <w:right w:val="nil"/>
            </w:tcBorders>
          </w:tcPr>
          <w:p w14:paraId="5FEE5EFE" w14:textId="77777777" w:rsidR="00B31621" w:rsidRDefault="003B6206">
            <w:pPr>
              <w:spacing w:after="0" w:line="259" w:lineRule="auto"/>
              <w:ind w:left="106" w:right="0" w:firstLine="0"/>
              <w:jc w:val="left"/>
            </w:pPr>
            <w:r>
              <w:rPr>
                <w:b/>
              </w:rPr>
              <w:t xml:space="preserve"> </w:t>
            </w:r>
          </w:p>
          <w:p w14:paraId="56BF2BE9" w14:textId="77777777" w:rsidR="00B31621" w:rsidRDefault="003B6206">
            <w:pPr>
              <w:spacing w:after="0" w:line="259" w:lineRule="auto"/>
              <w:ind w:left="106" w:right="0" w:firstLine="0"/>
              <w:jc w:val="left"/>
            </w:pPr>
            <w:r>
              <w:rPr>
                <w:b/>
              </w:rPr>
              <w:t xml:space="preserve">1. Scope </w:t>
            </w:r>
          </w:p>
        </w:tc>
        <w:tc>
          <w:tcPr>
            <w:tcW w:w="831" w:type="dxa"/>
            <w:gridSpan w:val="2"/>
            <w:tcBorders>
              <w:top w:val="nil"/>
              <w:left w:val="nil"/>
              <w:bottom w:val="single" w:sz="6" w:space="0" w:color="000000"/>
              <w:right w:val="nil"/>
            </w:tcBorders>
          </w:tcPr>
          <w:p w14:paraId="7F046A39" w14:textId="77777777" w:rsidR="00B31621" w:rsidRDefault="003B6206">
            <w:pPr>
              <w:spacing w:after="0" w:line="259" w:lineRule="auto"/>
              <w:ind w:left="240" w:right="0" w:firstLine="0"/>
              <w:jc w:val="left"/>
            </w:pPr>
            <w:r>
              <w:rPr>
                <w:b/>
              </w:rPr>
              <w:t xml:space="preserve">4 </w:t>
            </w:r>
          </w:p>
        </w:tc>
      </w:tr>
      <w:tr w:rsidR="00B31621" w14:paraId="38FC2224" w14:textId="77777777" w:rsidTr="003B6206">
        <w:tblPrEx>
          <w:tblCellMar>
            <w:right w:w="0" w:type="dxa"/>
          </w:tblCellMar>
        </w:tblPrEx>
        <w:trPr>
          <w:trHeight w:val="585"/>
        </w:trPr>
        <w:tc>
          <w:tcPr>
            <w:tcW w:w="8258" w:type="dxa"/>
            <w:gridSpan w:val="4"/>
            <w:tcBorders>
              <w:top w:val="single" w:sz="6" w:space="0" w:color="000000"/>
              <w:left w:val="nil"/>
              <w:bottom w:val="single" w:sz="6" w:space="0" w:color="000000"/>
              <w:right w:val="nil"/>
            </w:tcBorders>
          </w:tcPr>
          <w:p w14:paraId="37FE6F65" w14:textId="77777777" w:rsidR="00B31621" w:rsidRDefault="003B6206">
            <w:pPr>
              <w:spacing w:after="0" w:line="259" w:lineRule="auto"/>
              <w:ind w:left="106" w:right="0" w:firstLine="0"/>
              <w:jc w:val="left"/>
            </w:pPr>
            <w:r>
              <w:rPr>
                <w:b/>
              </w:rPr>
              <w:t xml:space="preserve">2. Outdoor Education Advisers Panel (OEAP) National Guidance </w:t>
            </w:r>
          </w:p>
        </w:tc>
        <w:tc>
          <w:tcPr>
            <w:tcW w:w="831" w:type="dxa"/>
            <w:gridSpan w:val="2"/>
            <w:tcBorders>
              <w:top w:val="single" w:sz="6" w:space="0" w:color="000000"/>
              <w:left w:val="nil"/>
              <w:bottom w:val="single" w:sz="6" w:space="0" w:color="000000"/>
              <w:right w:val="nil"/>
            </w:tcBorders>
          </w:tcPr>
          <w:p w14:paraId="37043F46" w14:textId="77777777" w:rsidR="00B31621" w:rsidRDefault="003B6206">
            <w:pPr>
              <w:spacing w:after="0" w:line="259" w:lineRule="auto"/>
              <w:ind w:left="240" w:right="0" w:firstLine="0"/>
              <w:jc w:val="left"/>
            </w:pPr>
            <w:r>
              <w:rPr>
                <w:b/>
              </w:rPr>
              <w:t xml:space="preserve">4 </w:t>
            </w:r>
          </w:p>
        </w:tc>
      </w:tr>
      <w:tr w:rsidR="00B31621" w14:paraId="1D8265A9" w14:textId="77777777" w:rsidTr="003B6206">
        <w:tblPrEx>
          <w:tblCellMar>
            <w:right w:w="0" w:type="dxa"/>
          </w:tblCellMar>
        </w:tblPrEx>
        <w:trPr>
          <w:trHeight w:val="586"/>
        </w:trPr>
        <w:tc>
          <w:tcPr>
            <w:tcW w:w="8258" w:type="dxa"/>
            <w:gridSpan w:val="4"/>
            <w:tcBorders>
              <w:top w:val="single" w:sz="6" w:space="0" w:color="000000"/>
              <w:left w:val="nil"/>
              <w:bottom w:val="single" w:sz="6" w:space="0" w:color="000000"/>
              <w:right w:val="nil"/>
            </w:tcBorders>
          </w:tcPr>
          <w:p w14:paraId="3BB6A462" w14:textId="77777777" w:rsidR="00B31621" w:rsidRDefault="003B6206">
            <w:pPr>
              <w:spacing w:after="0" w:line="259" w:lineRule="auto"/>
              <w:ind w:left="106" w:right="0" w:firstLine="0"/>
              <w:jc w:val="left"/>
            </w:pPr>
            <w:r>
              <w:rPr>
                <w:b/>
              </w:rPr>
              <w:t xml:space="preserve">3. Educational Visits Advisory Service (EVAS) </w:t>
            </w:r>
          </w:p>
        </w:tc>
        <w:tc>
          <w:tcPr>
            <w:tcW w:w="831" w:type="dxa"/>
            <w:gridSpan w:val="2"/>
            <w:tcBorders>
              <w:top w:val="single" w:sz="6" w:space="0" w:color="000000"/>
              <w:left w:val="nil"/>
              <w:bottom w:val="single" w:sz="6" w:space="0" w:color="000000"/>
              <w:right w:val="nil"/>
            </w:tcBorders>
          </w:tcPr>
          <w:p w14:paraId="68CD0D41" w14:textId="77777777" w:rsidR="00B31621" w:rsidRDefault="003B6206">
            <w:pPr>
              <w:spacing w:after="0" w:line="259" w:lineRule="auto"/>
              <w:ind w:left="240" w:right="0" w:firstLine="0"/>
              <w:jc w:val="left"/>
            </w:pPr>
            <w:r>
              <w:rPr>
                <w:b/>
              </w:rPr>
              <w:t xml:space="preserve">4 </w:t>
            </w:r>
          </w:p>
        </w:tc>
      </w:tr>
      <w:tr w:rsidR="00B31621" w14:paraId="1D8C1740" w14:textId="77777777" w:rsidTr="003B6206">
        <w:tblPrEx>
          <w:tblCellMar>
            <w:right w:w="0" w:type="dxa"/>
          </w:tblCellMar>
        </w:tblPrEx>
        <w:trPr>
          <w:trHeight w:val="585"/>
        </w:trPr>
        <w:tc>
          <w:tcPr>
            <w:tcW w:w="8258" w:type="dxa"/>
            <w:gridSpan w:val="4"/>
            <w:tcBorders>
              <w:top w:val="single" w:sz="6" w:space="0" w:color="000000"/>
              <w:left w:val="nil"/>
              <w:bottom w:val="single" w:sz="6" w:space="0" w:color="000000"/>
              <w:right w:val="nil"/>
            </w:tcBorders>
          </w:tcPr>
          <w:p w14:paraId="2E82BF37" w14:textId="77777777" w:rsidR="00B31621" w:rsidRDefault="003B6206">
            <w:pPr>
              <w:spacing w:after="0" w:line="259" w:lineRule="auto"/>
              <w:ind w:left="106" w:right="0" w:firstLine="0"/>
              <w:jc w:val="left"/>
            </w:pPr>
            <w:r>
              <w:rPr>
                <w:b/>
              </w:rPr>
              <w:t xml:space="preserve">4. EVOLVE </w:t>
            </w:r>
          </w:p>
        </w:tc>
        <w:tc>
          <w:tcPr>
            <w:tcW w:w="831" w:type="dxa"/>
            <w:gridSpan w:val="2"/>
            <w:tcBorders>
              <w:top w:val="single" w:sz="6" w:space="0" w:color="000000"/>
              <w:left w:val="nil"/>
              <w:bottom w:val="single" w:sz="6" w:space="0" w:color="000000"/>
              <w:right w:val="nil"/>
            </w:tcBorders>
          </w:tcPr>
          <w:p w14:paraId="68EE6B02" w14:textId="77777777" w:rsidR="00B31621" w:rsidRDefault="003B6206">
            <w:pPr>
              <w:spacing w:after="0" w:line="259" w:lineRule="auto"/>
              <w:ind w:left="240" w:right="0" w:firstLine="0"/>
              <w:jc w:val="left"/>
            </w:pPr>
            <w:r>
              <w:rPr>
                <w:b/>
              </w:rPr>
              <w:t xml:space="preserve">5 </w:t>
            </w:r>
          </w:p>
        </w:tc>
      </w:tr>
      <w:tr w:rsidR="00B31621" w14:paraId="3B1F8F49" w14:textId="77777777" w:rsidTr="003B6206">
        <w:tblPrEx>
          <w:tblCellMar>
            <w:right w:w="0" w:type="dxa"/>
          </w:tblCellMar>
        </w:tblPrEx>
        <w:trPr>
          <w:trHeight w:val="586"/>
        </w:trPr>
        <w:tc>
          <w:tcPr>
            <w:tcW w:w="8258" w:type="dxa"/>
            <w:gridSpan w:val="4"/>
            <w:tcBorders>
              <w:top w:val="single" w:sz="6" w:space="0" w:color="000000"/>
              <w:left w:val="nil"/>
              <w:bottom w:val="single" w:sz="6" w:space="0" w:color="000000"/>
              <w:right w:val="nil"/>
            </w:tcBorders>
          </w:tcPr>
          <w:p w14:paraId="2264BED4" w14:textId="77777777" w:rsidR="00B31621" w:rsidRDefault="003B6206">
            <w:pPr>
              <w:spacing w:after="0" w:line="259" w:lineRule="auto"/>
              <w:ind w:left="106" w:right="0" w:firstLine="0"/>
              <w:jc w:val="left"/>
            </w:pPr>
            <w:r>
              <w:rPr>
                <w:b/>
              </w:rPr>
              <w:t xml:space="preserve">5. Benefits </w:t>
            </w:r>
          </w:p>
        </w:tc>
        <w:tc>
          <w:tcPr>
            <w:tcW w:w="831" w:type="dxa"/>
            <w:gridSpan w:val="2"/>
            <w:tcBorders>
              <w:top w:val="single" w:sz="6" w:space="0" w:color="000000"/>
              <w:left w:val="nil"/>
              <w:bottom w:val="single" w:sz="6" w:space="0" w:color="000000"/>
              <w:right w:val="nil"/>
            </w:tcBorders>
          </w:tcPr>
          <w:p w14:paraId="0DF996EC" w14:textId="77777777" w:rsidR="00B31621" w:rsidRDefault="003B6206">
            <w:pPr>
              <w:spacing w:after="0" w:line="259" w:lineRule="auto"/>
              <w:ind w:left="240" w:right="0" w:firstLine="0"/>
              <w:jc w:val="left"/>
            </w:pPr>
            <w:r>
              <w:rPr>
                <w:b/>
              </w:rPr>
              <w:t xml:space="preserve">5 </w:t>
            </w:r>
          </w:p>
        </w:tc>
      </w:tr>
      <w:tr w:rsidR="00B31621" w14:paraId="3A7B87DC" w14:textId="77777777" w:rsidTr="003B6206">
        <w:tblPrEx>
          <w:tblCellMar>
            <w:right w:w="0" w:type="dxa"/>
          </w:tblCellMar>
        </w:tblPrEx>
        <w:trPr>
          <w:trHeight w:val="601"/>
        </w:trPr>
        <w:tc>
          <w:tcPr>
            <w:tcW w:w="8258" w:type="dxa"/>
            <w:gridSpan w:val="4"/>
            <w:tcBorders>
              <w:top w:val="single" w:sz="6" w:space="0" w:color="000000"/>
              <w:left w:val="nil"/>
              <w:bottom w:val="single" w:sz="6" w:space="0" w:color="000000"/>
              <w:right w:val="nil"/>
            </w:tcBorders>
          </w:tcPr>
          <w:p w14:paraId="44C8BC29" w14:textId="77777777" w:rsidR="00B31621" w:rsidRDefault="003B6206">
            <w:pPr>
              <w:spacing w:after="0" w:line="259" w:lineRule="auto"/>
              <w:ind w:left="106" w:right="0" w:firstLine="0"/>
              <w:jc w:val="left"/>
            </w:pPr>
            <w:r>
              <w:rPr>
                <w:b/>
              </w:rPr>
              <w:t xml:space="preserve">6. Assessment of Risk </w:t>
            </w:r>
          </w:p>
        </w:tc>
        <w:tc>
          <w:tcPr>
            <w:tcW w:w="831" w:type="dxa"/>
            <w:gridSpan w:val="2"/>
            <w:tcBorders>
              <w:top w:val="single" w:sz="6" w:space="0" w:color="000000"/>
              <w:left w:val="nil"/>
              <w:bottom w:val="single" w:sz="6" w:space="0" w:color="000000"/>
              <w:right w:val="nil"/>
            </w:tcBorders>
          </w:tcPr>
          <w:p w14:paraId="63E74629" w14:textId="77777777" w:rsidR="00B31621" w:rsidRDefault="003B6206">
            <w:pPr>
              <w:spacing w:after="0" w:line="259" w:lineRule="auto"/>
              <w:ind w:left="240" w:right="0" w:firstLine="0"/>
              <w:jc w:val="left"/>
            </w:pPr>
            <w:r>
              <w:rPr>
                <w:b/>
              </w:rPr>
              <w:t xml:space="preserve">5 </w:t>
            </w:r>
          </w:p>
        </w:tc>
      </w:tr>
      <w:tr w:rsidR="00B31621" w14:paraId="0066A4AD" w14:textId="77777777" w:rsidTr="003B6206">
        <w:tblPrEx>
          <w:tblCellMar>
            <w:right w:w="0" w:type="dxa"/>
          </w:tblCellMar>
        </w:tblPrEx>
        <w:trPr>
          <w:trHeight w:val="585"/>
        </w:trPr>
        <w:tc>
          <w:tcPr>
            <w:tcW w:w="8258" w:type="dxa"/>
            <w:gridSpan w:val="4"/>
            <w:tcBorders>
              <w:top w:val="single" w:sz="6" w:space="0" w:color="000000"/>
              <w:left w:val="nil"/>
              <w:bottom w:val="single" w:sz="6" w:space="0" w:color="000000"/>
              <w:right w:val="nil"/>
            </w:tcBorders>
          </w:tcPr>
          <w:p w14:paraId="3017CB27" w14:textId="77777777" w:rsidR="00B31621" w:rsidRDefault="003B6206">
            <w:pPr>
              <w:spacing w:after="0" w:line="259" w:lineRule="auto"/>
              <w:ind w:left="106" w:right="0" w:firstLine="0"/>
              <w:jc w:val="left"/>
            </w:pPr>
            <w:r>
              <w:rPr>
                <w:b/>
              </w:rPr>
              <w:t xml:space="preserve">7. Inclusion &amp; Equality </w:t>
            </w:r>
          </w:p>
        </w:tc>
        <w:tc>
          <w:tcPr>
            <w:tcW w:w="831" w:type="dxa"/>
            <w:gridSpan w:val="2"/>
            <w:tcBorders>
              <w:top w:val="single" w:sz="6" w:space="0" w:color="000000"/>
              <w:left w:val="nil"/>
              <w:bottom w:val="single" w:sz="6" w:space="0" w:color="000000"/>
              <w:right w:val="nil"/>
            </w:tcBorders>
          </w:tcPr>
          <w:p w14:paraId="1BD974E8" w14:textId="77777777" w:rsidR="00B31621" w:rsidRDefault="003B6206">
            <w:pPr>
              <w:spacing w:after="0" w:line="259" w:lineRule="auto"/>
              <w:ind w:left="240" w:right="0" w:firstLine="0"/>
              <w:jc w:val="left"/>
            </w:pPr>
            <w:r>
              <w:rPr>
                <w:b/>
              </w:rPr>
              <w:t xml:space="preserve">7 </w:t>
            </w:r>
          </w:p>
        </w:tc>
      </w:tr>
      <w:tr w:rsidR="00B31621" w14:paraId="033D2CE9" w14:textId="77777777" w:rsidTr="003B6206">
        <w:tblPrEx>
          <w:tblCellMar>
            <w:right w:w="0" w:type="dxa"/>
          </w:tblCellMar>
        </w:tblPrEx>
        <w:trPr>
          <w:trHeight w:val="585"/>
        </w:trPr>
        <w:tc>
          <w:tcPr>
            <w:tcW w:w="8258" w:type="dxa"/>
            <w:gridSpan w:val="4"/>
            <w:tcBorders>
              <w:top w:val="single" w:sz="6" w:space="0" w:color="000000"/>
              <w:left w:val="nil"/>
              <w:bottom w:val="single" w:sz="6" w:space="0" w:color="000000"/>
              <w:right w:val="nil"/>
            </w:tcBorders>
          </w:tcPr>
          <w:p w14:paraId="7CC843C1" w14:textId="77777777" w:rsidR="00B31621" w:rsidRDefault="003B6206">
            <w:pPr>
              <w:spacing w:after="0" w:line="259" w:lineRule="auto"/>
              <w:ind w:left="106" w:right="0" w:firstLine="0"/>
              <w:jc w:val="left"/>
            </w:pPr>
            <w:r>
              <w:rPr>
                <w:b/>
              </w:rPr>
              <w:t xml:space="preserve">8. Review &amp; Evaluation  </w:t>
            </w:r>
          </w:p>
        </w:tc>
        <w:tc>
          <w:tcPr>
            <w:tcW w:w="831" w:type="dxa"/>
            <w:gridSpan w:val="2"/>
            <w:tcBorders>
              <w:top w:val="single" w:sz="6" w:space="0" w:color="000000"/>
              <w:left w:val="nil"/>
              <w:bottom w:val="single" w:sz="6" w:space="0" w:color="000000"/>
              <w:right w:val="nil"/>
            </w:tcBorders>
          </w:tcPr>
          <w:p w14:paraId="29DC4B30" w14:textId="77777777" w:rsidR="00B31621" w:rsidRDefault="003B6206">
            <w:pPr>
              <w:spacing w:after="0" w:line="259" w:lineRule="auto"/>
              <w:ind w:left="240" w:right="0" w:firstLine="0"/>
              <w:jc w:val="left"/>
            </w:pPr>
            <w:r>
              <w:rPr>
                <w:b/>
              </w:rPr>
              <w:t xml:space="preserve">7 </w:t>
            </w:r>
          </w:p>
        </w:tc>
      </w:tr>
      <w:tr w:rsidR="00B31621" w14:paraId="48116E81" w14:textId="77777777" w:rsidTr="003B6206">
        <w:tblPrEx>
          <w:tblCellMar>
            <w:right w:w="0" w:type="dxa"/>
          </w:tblCellMar>
        </w:tblPrEx>
        <w:trPr>
          <w:trHeight w:val="586"/>
        </w:trPr>
        <w:tc>
          <w:tcPr>
            <w:tcW w:w="8258" w:type="dxa"/>
            <w:gridSpan w:val="4"/>
            <w:tcBorders>
              <w:top w:val="single" w:sz="6" w:space="0" w:color="000000"/>
              <w:left w:val="nil"/>
              <w:bottom w:val="single" w:sz="6" w:space="0" w:color="000000"/>
              <w:right w:val="nil"/>
            </w:tcBorders>
          </w:tcPr>
          <w:p w14:paraId="5CF08A29" w14:textId="77777777" w:rsidR="00B31621" w:rsidRDefault="003B6206">
            <w:pPr>
              <w:spacing w:after="0" w:line="259" w:lineRule="auto"/>
              <w:ind w:left="106" w:right="0" w:firstLine="0"/>
              <w:jc w:val="left"/>
            </w:pPr>
            <w:r>
              <w:rPr>
                <w:b/>
              </w:rPr>
              <w:t xml:space="preserve">9. Commissioning </w:t>
            </w:r>
          </w:p>
        </w:tc>
        <w:tc>
          <w:tcPr>
            <w:tcW w:w="831" w:type="dxa"/>
            <w:gridSpan w:val="2"/>
            <w:tcBorders>
              <w:top w:val="single" w:sz="6" w:space="0" w:color="000000"/>
              <w:left w:val="nil"/>
              <w:bottom w:val="single" w:sz="6" w:space="0" w:color="000000"/>
              <w:right w:val="nil"/>
            </w:tcBorders>
          </w:tcPr>
          <w:p w14:paraId="12F1247C" w14:textId="77777777" w:rsidR="00B31621" w:rsidRDefault="003B6206">
            <w:pPr>
              <w:spacing w:after="0" w:line="259" w:lineRule="auto"/>
              <w:ind w:left="240" w:right="0" w:firstLine="0"/>
              <w:jc w:val="left"/>
            </w:pPr>
            <w:r>
              <w:rPr>
                <w:b/>
              </w:rPr>
              <w:t xml:space="preserve">7 </w:t>
            </w:r>
          </w:p>
        </w:tc>
      </w:tr>
      <w:tr w:rsidR="00B31621" w14:paraId="70C9EAE1" w14:textId="77777777" w:rsidTr="003B6206">
        <w:tblPrEx>
          <w:tblCellMar>
            <w:right w:w="0" w:type="dxa"/>
          </w:tblCellMar>
        </w:tblPrEx>
        <w:trPr>
          <w:trHeight w:val="585"/>
        </w:trPr>
        <w:tc>
          <w:tcPr>
            <w:tcW w:w="8258" w:type="dxa"/>
            <w:gridSpan w:val="4"/>
            <w:tcBorders>
              <w:top w:val="single" w:sz="6" w:space="0" w:color="000000"/>
              <w:left w:val="nil"/>
              <w:bottom w:val="single" w:sz="6" w:space="0" w:color="000000"/>
              <w:right w:val="nil"/>
            </w:tcBorders>
          </w:tcPr>
          <w:p w14:paraId="5FC93350" w14:textId="77777777" w:rsidR="00B31621" w:rsidRDefault="003B6206">
            <w:pPr>
              <w:spacing w:after="0" w:line="259" w:lineRule="auto"/>
              <w:ind w:left="106" w:right="0" w:firstLine="0"/>
              <w:jc w:val="left"/>
            </w:pPr>
            <w:r>
              <w:rPr>
                <w:b/>
              </w:rPr>
              <w:t xml:space="preserve">10. Role-specific responsibilities  </w:t>
            </w:r>
          </w:p>
        </w:tc>
        <w:tc>
          <w:tcPr>
            <w:tcW w:w="831" w:type="dxa"/>
            <w:gridSpan w:val="2"/>
            <w:tcBorders>
              <w:top w:val="single" w:sz="6" w:space="0" w:color="000000"/>
              <w:left w:val="nil"/>
              <w:bottom w:val="single" w:sz="6" w:space="0" w:color="000000"/>
              <w:right w:val="nil"/>
            </w:tcBorders>
          </w:tcPr>
          <w:p w14:paraId="44C265D8" w14:textId="77777777" w:rsidR="00B31621" w:rsidRDefault="003B6206">
            <w:pPr>
              <w:spacing w:after="0" w:line="259" w:lineRule="auto"/>
              <w:ind w:left="240" w:right="0" w:firstLine="0"/>
              <w:jc w:val="left"/>
            </w:pPr>
            <w:r>
              <w:rPr>
                <w:b/>
              </w:rPr>
              <w:t xml:space="preserve">7 </w:t>
            </w:r>
          </w:p>
        </w:tc>
      </w:tr>
      <w:tr w:rsidR="00B31621" w14:paraId="0DC6F646" w14:textId="77777777" w:rsidTr="003B6206">
        <w:tblPrEx>
          <w:tblCellMar>
            <w:right w:w="0" w:type="dxa"/>
          </w:tblCellMar>
        </w:tblPrEx>
        <w:trPr>
          <w:trHeight w:val="586"/>
        </w:trPr>
        <w:tc>
          <w:tcPr>
            <w:tcW w:w="8258" w:type="dxa"/>
            <w:gridSpan w:val="4"/>
            <w:tcBorders>
              <w:top w:val="single" w:sz="6" w:space="0" w:color="000000"/>
              <w:left w:val="nil"/>
              <w:bottom w:val="single" w:sz="6" w:space="0" w:color="000000"/>
              <w:right w:val="nil"/>
            </w:tcBorders>
          </w:tcPr>
          <w:p w14:paraId="0D44AAA9" w14:textId="77777777" w:rsidR="00B31621" w:rsidRDefault="003B6206">
            <w:pPr>
              <w:spacing w:after="0" w:line="259" w:lineRule="auto"/>
              <w:ind w:left="106" w:right="0" w:firstLine="0"/>
              <w:jc w:val="left"/>
            </w:pPr>
            <w:r>
              <w:rPr>
                <w:b/>
              </w:rPr>
              <w:t xml:space="preserve">11. Business Engagement Manager </w:t>
            </w:r>
          </w:p>
        </w:tc>
        <w:tc>
          <w:tcPr>
            <w:tcW w:w="831" w:type="dxa"/>
            <w:gridSpan w:val="2"/>
            <w:tcBorders>
              <w:top w:val="single" w:sz="6" w:space="0" w:color="000000"/>
              <w:left w:val="nil"/>
              <w:bottom w:val="single" w:sz="6" w:space="0" w:color="000000"/>
              <w:right w:val="nil"/>
            </w:tcBorders>
          </w:tcPr>
          <w:p w14:paraId="1E53BEAF" w14:textId="77777777" w:rsidR="00B31621" w:rsidRDefault="003B6206">
            <w:pPr>
              <w:spacing w:after="0" w:line="259" w:lineRule="auto"/>
              <w:ind w:left="240" w:right="0" w:firstLine="0"/>
              <w:jc w:val="left"/>
            </w:pPr>
            <w:r>
              <w:rPr>
                <w:b/>
              </w:rPr>
              <w:t xml:space="preserve">7 </w:t>
            </w:r>
          </w:p>
        </w:tc>
      </w:tr>
      <w:tr w:rsidR="00B31621" w14:paraId="067A9B94" w14:textId="77777777" w:rsidTr="003B6206">
        <w:tblPrEx>
          <w:tblCellMar>
            <w:right w:w="0" w:type="dxa"/>
          </w:tblCellMar>
        </w:tblPrEx>
        <w:trPr>
          <w:trHeight w:val="586"/>
        </w:trPr>
        <w:tc>
          <w:tcPr>
            <w:tcW w:w="8258" w:type="dxa"/>
            <w:gridSpan w:val="4"/>
            <w:tcBorders>
              <w:top w:val="single" w:sz="6" w:space="0" w:color="000000"/>
              <w:left w:val="nil"/>
              <w:bottom w:val="single" w:sz="6" w:space="0" w:color="000000"/>
              <w:right w:val="nil"/>
            </w:tcBorders>
          </w:tcPr>
          <w:p w14:paraId="24E2A5D6" w14:textId="77777777" w:rsidR="00B31621" w:rsidRDefault="003B6206">
            <w:pPr>
              <w:spacing w:after="0" w:line="259" w:lineRule="auto"/>
              <w:ind w:left="106" w:right="0" w:firstLine="0"/>
              <w:jc w:val="left"/>
            </w:pPr>
            <w:r>
              <w:rPr>
                <w:b/>
              </w:rPr>
              <w:t xml:space="preserve">12. Senior Health and Safety Officer </w:t>
            </w:r>
          </w:p>
        </w:tc>
        <w:tc>
          <w:tcPr>
            <w:tcW w:w="831" w:type="dxa"/>
            <w:gridSpan w:val="2"/>
            <w:tcBorders>
              <w:top w:val="single" w:sz="6" w:space="0" w:color="000000"/>
              <w:left w:val="nil"/>
              <w:bottom w:val="single" w:sz="6" w:space="0" w:color="000000"/>
              <w:right w:val="nil"/>
            </w:tcBorders>
          </w:tcPr>
          <w:p w14:paraId="2600C462" w14:textId="77777777" w:rsidR="00B31621" w:rsidRDefault="003B6206">
            <w:pPr>
              <w:spacing w:after="0" w:line="259" w:lineRule="auto"/>
              <w:ind w:left="240" w:right="0" w:firstLine="0"/>
              <w:jc w:val="left"/>
            </w:pPr>
            <w:r>
              <w:rPr>
                <w:b/>
              </w:rPr>
              <w:t xml:space="preserve">8 </w:t>
            </w:r>
          </w:p>
        </w:tc>
      </w:tr>
      <w:tr w:rsidR="00B31621" w14:paraId="77F89B27" w14:textId="77777777" w:rsidTr="003B6206">
        <w:tblPrEx>
          <w:tblCellMar>
            <w:right w:w="0" w:type="dxa"/>
          </w:tblCellMar>
        </w:tblPrEx>
        <w:trPr>
          <w:trHeight w:val="586"/>
        </w:trPr>
        <w:tc>
          <w:tcPr>
            <w:tcW w:w="8258" w:type="dxa"/>
            <w:gridSpan w:val="4"/>
            <w:tcBorders>
              <w:top w:val="single" w:sz="6" w:space="0" w:color="000000"/>
              <w:left w:val="nil"/>
              <w:bottom w:val="single" w:sz="6" w:space="0" w:color="000000"/>
              <w:right w:val="nil"/>
            </w:tcBorders>
          </w:tcPr>
          <w:p w14:paraId="28AF242E" w14:textId="77777777" w:rsidR="00B31621" w:rsidRDefault="003B6206">
            <w:pPr>
              <w:spacing w:after="0" w:line="259" w:lineRule="auto"/>
              <w:ind w:left="106" w:right="0" w:firstLine="0"/>
              <w:jc w:val="left"/>
            </w:pPr>
            <w:r>
              <w:rPr>
                <w:b/>
              </w:rPr>
              <w:t xml:space="preserve">13. Visit categories </w:t>
            </w:r>
          </w:p>
        </w:tc>
        <w:tc>
          <w:tcPr>
            <w:tcW w:w="831" w:type="dxa"/>
            <w:gridSpan w:val="2"/>
            <w:tcBorders>
              <w:top w:val="single" w:sz="6" w:space="0" w:color="000000"/>
              <w:left w:val="nil"/>
              <w:bottom w:val="single" w:sz="6" w:space="0" w:color="000000"/>
              <w:right w:val="nil"/>
            </w:tcBorders>
          </w:tcPr>
          <w:p w14:paraId="620BC104" w14:textId="77777777" w:rsidR="00B31621" w:rsidRDefault="003B6206">
            <w:pPr>
              <w:spacing w:after="0" w:line="259" w:lineRule="auto"/>
              <w:ind w:left="240" w:right="0" w:firstLine="0"/>
              <w:jc w:val="left"/>
            </w:pPr>
            <w:r>
              <w:rPr>
                <w:b/>
              </w:rPr>
              <w:t xml:space="preserve">8 </w:t>
            </w:r>
          </w:p>
        </w:tc>
      </w:tr>
      <w:tr w:rsidR="00B31621" w14:paraId="2ECFF257" w14:textId="77777777" w:rsidTr="003B6206">
        <w:tblPrEx>
          <w:tblCellMar>
            <w:right w:w="0" w:type="dxa"/>
          </w:tblCellMar>
        </w:tblPrEx>
        <w:trPr>
          <w:trHeight w:val="601"/>
        </w:trPr>
        <w:tc>
          <w:tcPr>
            <w:tcW w:w="8258" w:type="dxa"/>
            <w:gridSpan w:val="4"/>
            <w:tcBorders>
              <w:top w:val="single" w:sz="6" w:space="0" w:color="000000"/>
              <w:left w:val="nil"/>
              <w:bottom w:val="single" w:sz="6" w:space="0" w:color="000000"/>
              <w:right w:val="nil"/>
            </w:tcBorders>
          </w:tcPr>
          <w:p w14:paraId="17652C2B" w14:textId="77777777" w:rsidR="00B31621" w:rsidRDefault="003B6206">
            <w:pPr>
              <w:spacing w:after="0" w:line="259" w:lineRule="auto"/>
              <w:ind w:left="106" w:right="0" w:firstLine="0"/>
              <w:jc w:val="left"/>
            </w:pPr>
            <w:r>
              <w:rPr>
                <w:b/>
              </w:rPr>
              <w:t xml:space="preserve">14. Adventure activities </w:t>
            </w:r>
          </w:p>
        </w:tc>
        <w:tc>
          <w:tcPr>
            <w:tcW w:w="831" w:type="dxa"/>
            <w:gridSpan w:val="2"/>
            <w:tcBorders>
              <w:top w:val="single" w:sz="6" w:space="0" w:color="000000"/>
              <w:left w:val="nil"/>
              <w:bottom w:val="single" w:sz="6" w:space="0" w:color="000000"/>
              <w:right w:val="nil"/>
            </w:tcBorders>
          </w:tcPr>
          <w:p w14:paraId="1F5C30FC" w14:textId="77777777" w:rsidR="00B31621" w:rsidRDefault="003B6206">
            <w:pPr>
              <w:spacing w:after="0" w:line="259" w:lineRule="auto"/>
              <w:ind w:left="240" w:right="0" w:firstLine="0"/>
              <w:jc w:val="left"/>
            </w:pPr>
            <w:r>
              <w:rPr>
                <w:b/>
              </w:rPr>
              <w:t xml:space="preserve">9 </w:t>
            </w:r>
          </w:p>
        </w:tc>
      </w:tr>
      <w:tr w:rsidR="00B31621" w14:paraId="50AEBD56" w14:textId="77777777" w:rsidTr="003B6206">
        <w:tblPrEx>
          <w:tblCellMar>
            <w:right w:w="0" w:type="dxa"/>
          </w:tblCellMar>
        </w:tblPrEx>
        <w:trPr>
          <w:trHeight w:val="585"/>
        </w:trPr>
        <w:tc>
          <w:tcPr>
            <w:tcW w:w="8258" w:type="dxa"/>
            <w:gridSpan w:val="4"/>
            <w:tcBorders>
              <w:top w:val="single" w:sz="6" w:space="0" w:color="000000"/>
              <w:left w:val="nil"/>
              <w:bottom w:val="single" w:sz="6" w:space="0" w:color="000000"/>
              <w:right w:val="nil"/>
            </w:tcBorders>
          </w:tcPr>
          <w:p w14:paraId="7A90AF52" w14:textId="77777777" w:rsidR="00B31621" w:rsidRDefault="003B6206">
            <w:pPr>
              <w:spacing w:after="0" w:line="259" w:lineRule="auto"/>
              <w:ind w:left="106" w:right="0" w:firstLine="0"/>
              <w:jc w:val="left"/>
            </w:pPr>
            <w:r>
              <w:rPr>
                <w:b/>
              </w:rPr>
              <w:t xml:space="preserve">15. Leader competence and approval </w:t>
            </w:r>
          </w:p>
        </w:tc>
        <w:tc>
          <w:tcPr>
            <w:tcW w:w="831" w:type="dxa"/>
            <w:gridSpan w:val="2"/>
            <w:tcBorders>
              <w:top w:val="single" w:sz="6" w:space="0" w:color="000000"/>
              <w:left w:val="nil"/>
              <w:bottom w:val="single" w:sz="6" w:space="0" w:color="000000"/>
              <w:right w:val="nil"/>
            </w:tcBorders>
          </w:tcPr>
          <w:p w14:paraId="1BA2D414" w14:textId="77777777" w:rsidR="00B31621" w:rsidRDefault="003B6206">
            <w:pPr>
              <w:spacing w:after="0" w:line="259" w:lineRule="auto"/>
              <w:ind w:left="0" w:right="119" w:firstLine="0"/>
              <w:jc w:val="center"/>
            </w:pPr>
            <w:r>
              <w:rPr>
                <w:b/>
              </w:rPr>
              <w:t xml:space="preserve">10 </w:t>
            </w:r>
          </w:p>
        </w:tc>
      </w:tr>
      <w:tr w:rsidR="00B31621" w14:paraId="1130CF28" w14:textId="77777777" w:rsidTr="003B6206">
        <w:tblPrEx>
          <w:tblCellMar>
            <w:right w:w="0" w:type="dxa"/>
          </w:tblCellMar>
        </w:tblPrEx>
        <w:trPr>
          <w:trHeight w:val="586"/>
        </w:trPr>
        <w:tc>
          <w:tcPr>
            <w:tcW w:w="8258" w:type="dxa"/>
            <w:gridSpan w:val="4"/>
            <w:tcBorders>
              <w:top w:val="single" w:sz="6" w:space="0" w:color="000000"/>
              <w:left w:val="nil"/>
              <w:bottom w:val="single" w:sz="6" w:space="0" w:color="000000"/>
              <w:right w:val="nil"/>
            </w:tcBorders>
          </w:tcPr>
          <w:p w14:paraId="5AA25D50" w14:textId="77777777" w:rsidR="00B31621" w:rsidRDefault="003B6206">
            <w:pPr>
              <w:spacing w:after="0" w:line="259" w:lineRule="auto"/>
              <w:ind w:left="106" w:right="0" w:firstLine="0"/>
              <w:jc w:val="left"/>
            </w:pPr>
            <w:r>
              <w:rPr>
                <w:b/>
              </w:rPr>
              <w:t xml:space="preserve">16. Minibus driving </w:t>
            </w:r>
          </w:p>
        </w:tc>
        <w:tc>
          <w:tcPr>
            <w:tcW w:w="831" w:type="dxa"/>
            <w:gridSpan w:val="2"/>
            <w:tcBorders>
              <w:top w:val="single" w:sz="6" w:space="0" w:color="000000"/>
              <w:left w:val="nil"/>
              <w:bottom w:val="single" w:sz="6" w:space="0" w:color="000000"/>
              <w:right w:val="nil"/>
            </w:tcBorders>
          </w:tcPr>
          <w:p w14:paraId="21E2B46F" w14:textId="77777777" w:rsidR="00B31621" w:rsidRDefault="003B6206">
            <w:pPr>
              <w:spacing w:after="0" w:line="259" w:lineRule="auto"/>
              <w:ind w:left="0" w:right="119" w:firstLine="0"/>
              <w:jc w:val="center"/>
            </w:pPr>
            <w:r>
              <w:rPr>
                <w:b/>
              </w:rPr>
              <w:t xml:space="preserve">10 </w:t>
            </w:r>
          </w:p>
        </w:tc>
      </w:tr>
      <w:tr w:rsidR="00B31621" w14:paraId="29354E65" w14:textId="77777777" w:rsidTr="003B6206">
        <w:tblPrEx>
          <w:tblCellMar>
            <w:right w:w="0" w:type="dxa"/>
          </w:tblCellMar>
        </w:tblPrEx>
        <w:trPr>
          <w:trHeight w:val="585"/>
        </w:trPr>
        <w:tc>
          <w:tcPr>
            <w:tcW w:w="8258" w:type="dxa"/>
            <w:gridSpan w:val="4"/>
            <w:tcBorders>
              <w:top w:val="single" w:sz="6" w:space="0" w:color="000000"/>
              <w:left w:val="nil"/>
              <w:bottom w:val="single" w:sz="6" w:space="0" w:color="000000"/>
              <w:right w:val="nil"/>
            </w:tcBorders>
          </w:tcPr>
          <w:p w14:paraId="1887FA4A" w14:textId="77777777" w:rsidR="00B31621" w:rsidRDefault="003B6206">
            <w:pPr>
              <w:spacing w:after="0" w:line="259" w:lineRule="auto"/>
              <w:ind w:left="106" w:right="0" w:firstLine="0"/>
              <w:jc w:val="left"/>
            </w:pPr>
            <w:r>
              <w:rPr>
                <w:b/>
              </w:rPr>
              <w:t xml:space="preserve">17. Emergency Planning and Critical Incidents </w:t>
            </w:r>
          </w:p>
        </w:tc>
        <w:tc>
          <w:tcPr>
            <w:tcW w:w="831" w:type="dxa"/>
            <w:gridSpan w:val="2"/>
            <w:tcBorders>
              <w:top w:val="single" w:sz="6" w:space="0" w:color="000000"/>
              <w:left w:val="nil"/>
              <w:bottom w:val="single" w:sz="6" w:space="0" w:color="000000"/>
              <w:right w:val="nil"/>
            </w:tcBorders>
          </w:tcPr>
          <w:p w14:paraId="3399AAAC" w14:textId="77777777" w:rsidR="00B31621" w:rsidRDefault="003B6206">
            <w:pPr>
              <w:spacing w:after="0" w:line="259" w:lineRule="auto"/>
              <w:ind w:left="0" w:right="119" w:firstLine="0"/>
              <w:jc w:val="center"/>
            </w:pPr>
            <w:r>
              <w:rPr>
                <w:b/>
              </w:rPr>
              <w:t xml:space="preserve">10 </w:t>
            </w:r>
          </w:p>
        </w:tc>
      </w:tr>
      <w:tr w:rsidR="00B31621" w14:paraId="5A26A95C" w14:textId="77777777" w:rsidTr="003B6206">
        <w:tblPrEx>
          <w:tblCellMar>
            <w:right w:w="0" w:type="dxa"/>
          </w:tblCellMar>
        </w:tblPrEx>
        <w:trPr>
          <w:trHeight w:val="586"/>
        </w:trPr>
        <w:tc>
          <w:tcPr>
            <w:tcW w:w="8258" w:type="dxa"/>
            <w:gridSpan w:val="4"/>
            <w:tcBorders>
              <w:top w:val="single" w:sz="6" w:space="0" w:color="000000"/>
              <w:left w:val="nil"/>
              <w:bottom w:val="single" w:sz="6" w:space="0" w:color="000000"/>
              <w:right w:val="nil"/>
            </w:tcBorders>
          </w:tcPr>
          <w:p w14:paraId="7D0D3E39" w14:textId="77777777" w:rsidR="00B31621" w:rsidRDefault="003B6206">
            <w:pPr>
              <w:spacing w:after="0" w:line="259" w:lineRule="auto"/>
              <w:ind w:left="106" w:right="0" w:firstLine="0"/>
              <w:jc w:val="left"/>
            </w:pPr>
            <w:r>
              <w:rPr>
                <w:b/>
              </w:rPr>
              <w:t xml:space="preserve">18. Accident/Incident Reporting </w:t>
            </w:r>
          </w:p>
        </w:tc>
        <w:tc>
          <w:tcPr>
            <w:tcW w:w="831" w:type="dxa"/>
            <w:gridSpan w:val="2"/>
            <w:tcBorders>
              <w:top w:val="single" w:sz="6" w:space="0" w:color="000000"/>
              <w:left w:val="nil"/>
              <w:bottom w:val="single" w:sz="6" w:space="0" w:color="000000"/>
              <w:right w:val="nil"/>
            </w:tcBorders>
          </w:tcPr>
          <w:p w14:paraId="00190021" w14:textId="77777777" w:rsidR="00B31621" w:rsidRDefault="003B6206">
            <w:pPr>
              <w:spacing w:after="0" w:line="259" w:lineRule="auto"/>
              <w:ind w:left="0" w:right="119" w:firstLine="0"/>
              <w:jc w:val="center"/>
            </w:pPr>
            <w:r>
              <w:rPr>
                <w:b/>
              </w:rPr>
              <w:t xml:space="preserve">11 </w:t>
            </w:r>
          </w:p>
        </w:tc>
      </w:tr>
    </w:tbl>
    <w:p w14:paraId="183C112E" w14:textId="77777777" w:rsidR="00B31621" w:rsidRDefault="003B6206">
      <w:pPr>
        <w:pStyle w:val="Heading1"/>
        <w:tabs>
          <w:tab w:val="center" w:pos="8666"/>
        </w:tabs>
        <w:ind w:left="-15" w:firstLine="0"/>
      </w:pPr>
      <w:r>
        <w:t xml:space="preserve">19. Supervision </w:t>
      </w:r>
      <w:r>
        <w:tab/>
        <w:t xml:space="preserve">11 </w:t>
      </w:r>
    </w:p>
    <w:p w14:paraId="536BE242" w14:textId="77777777" w:rsidR="00B31621" w:rsidRDefault="003B6206">
      <w:pPr>
        <w:spacing w:after="45" w:line="259" w:lineRule="auto"/>
        <w:ind w:left="-106" w:right="-97" w:firstLine="0"/>
        <w:jc w:val="left"/>
      </w:pPr>
      <w:r>
        <w:rPr>
          <w:noProof/>
          <w:sz w:val="22"/>
        </w:rPr>
        <mc:AlternateContent>
          <mc:Choice Requires="wpg">
            <w:drawing>
              <wp:inline distT="0" distB="0" distL="0" distR="0" wp14:anchorId="57F94362" wp14:editId="109AF40A">
                <wp:extent cx="5875084" cy="9525"/>
                <wp:effectExtent l="0" t="0" r="0" b="0"/>
                <wp:docPr id="12078" name="Group 12078"/>
                <wp:cNvGraphicFramePr/>
                <a:graphic xmlns:a="http://schemas.openxmlformats.org/drawingml/2006/main">
                  <a:graphicData uri="http://schemas.microsoft.com/office/word/2010/wordprocessingGroup">
                    <wpg:wgp>
                      <wpg:cNvGrpSpPr/>
                      <wpg:grpSpPr>
                        <a:xfrm>
                          <a:off x="0" y="0"/>
                          <a:ext cx="5875084" cy="9525"/>
                          <a:chOff x="0" y="0"/>
                          <a:chExt cx="5875084" cy="9525"/>
                        </a:xfrm>
                      </wpg:grpSpPr>
                      <wps:wsp>
                        <wps:cNvPr id="13906" name="Shape 13906"/>
                        <wps:cNvSpPr/>
                        <wps:spPr>
                          <a:xfrm>
                            <a:off x="0" y="0"/>
                            <a:ext cx="5417185" cy="9525"/>
                          </a:xfrm>
                          <a:custGeom>
                            <a:avLst/>
                            <a:gdLst/>
                            <a:ahLst/>
                            <a:cxnLst/>
                            <a:rect l="0" t="0" r="0" b="0"/>
                            <a:pathLst>
                              <a:path w="5417185" h="9525">
                                <a:moveTo>
                                  <a:pt x="0" y="0"/>
                                </a:moveTo>
                                <a:lnTo>
                                  <a:pt x="5417185" y="0"/>
                                </a:lnTo>
                                <a:lnTo>
                                  <a:pt x="541718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07" name="Shape 13907"/>
                        <wps:cNvSpPr/>
                        <wps:spPr>
                          <a:xfrm>
                            <a:off x="5417249"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08" name="Shape 13908"/>
                        <wps:cNvSpPr/>
                        <wps:spPr>
                          <a:xfrm>
                            <a:off x="5426774" y="0"/>
                            <a:ext cx="448310" cy="9525"/>
                          </a:xfrm>
                          <a:custGeom>
                            <a:avLst/>
                            <a:gdLst/>
                            <a:ahLst/>
                            <a:cxnLst/>
                            <a:rect l="0" t="0" r="0" b="0"/>
                            <a:pathLst>
                              <a:path w="448310" h="9525">
                                <a:moveTo>
                                  <a:pt x="0" y="0"/>
                                </a:moveTo>
                                <a:lnTo>
                                  <a:pt x="448310" y="0"/>
                                </a:lnTo>
                                <a:lnTo>
                                  <a:pt x="44831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078" style="width:462.605pt;height:0.75pt;mso-position-horizontal-relative:char;mso-position-vertical-relative:line" coordsize="58750,95">
                <v:shape id="Shape 13909" style="position:absolute;width:54171;height:95;left:0;top:0;" coordsize="5417185,9525" path="m0,0l5417185,0l5417185,9525l0,9525l0,0">
                  <v:stroke weight="0pt" endcap="flat" joinstyle="miter" miterlimit="10" on="false" color="#000000" opacity="0"/>
                  <v:fill on="true" color="#000000"/>
                </v:shape>
                <v:shape id="Shape 13910" style="position:absolute;width:95;height:95;left:54172;top:0;" coordsize="9525,9525" path="m0,0l9525,0l9525,9525l0,9525l0,0">
                  <v:stroke weight="0pt" endcap="flat" joinstyle="miter" miterlimit="10" on="false" color="#000000" opacity="0"/>
                  <v:fill on="true" color="#000000"/>
                </v:shape>
                <v:shape id="Shape 13911" style="position:absolute;width:4483;height:95;left:54267;top:0;" coordsize="448310,9525" path="m0,0l448310,0l448310,9525l0,9525l0,0">
                  <v:stroke weight="0pt" endcap="flat" joinstyle="miter" miterlimit="10" on="false" color="#000000" opacity="0"/>
                  <v:fill on="true" color="#000000"/>
                </v:shape>
              </v:group>
            </w:pict>
          </mc:Fallback>
        </mc:AlternateContent>
      </w:r>
    </w:p>
    <w:p w14:paraId="6CD3E1EE" w14:textId="77777777" w:rsidR="00B31621" w:rsidRDefault="003B6206">
      <w:pPr>
        <w:tabs>
          <w:tab w:val="center" w:pos="8666"/>
        </w:tabs>
        <w:spacing w:after="3" w:line="259" w:lineRule="auto"/>
        <w:ind w:left="-15" w:right="0" w:firstLine="0"/>
        <w:jc w:val="left"/>
      </w:pPr>
      <w:r>
        <w:rPr>
          <w:b/>
        </w:rPr>
        <w:t xml:space="preserve">20. Monitoring </w:t>
      </w:r>
      <w:r>
        <w:rPr>
          <w:b/>
        </w:rPr>
        <w:tab/>
        <w:t xml:space="preserve">11 </w:t>
      </w:r>
    </w:p>
    <w:p w14:paraId="178F4D24" w14:textId="77777777" w:rsidR="00B31621" w:rsidRDefault="003B6206">
      <w:pPr>
        <w:pStyle w:val="Heading1"/>
        <w:tabs>
          <w:tab w:val="center" w:pos="8666"/>
        </w:tabs>
        <w:ind w:left="-15" w:firstLine="0"/>
      </w:pPr>
      <w:r>
        <w:t xml:space="preserve">21. Assessing Venues and </w:t>
      </w:r>
      <w:proofErr w:type="gramStart"/>
      <w:r>
        <w:t xml:space="preserve">Providers  </w:t>
      </w:r>
      <w:r>
        <w:tab/>
      </w:r>
      <w:proofErr w:type="gramEnd"/>
      <w:r>
        <w:t xml:space="preserve">11 </w:t>
      </w:r>
    </w:p>
    <w:p w14:paraId="6F8F2449" w14:textId="77777777" w:rsidR="00B31621" w:rsidRDefault="003B6206">
      <w:pPr>
        <w:spacing w:after="44" w:line="259" w:lineRule="auto"/>
        <w:ind w:left="-106" w:right="-97" w:firstLine="0"/>
        <w:jc w:val="left"/>
      </w:pPr>
      <w:r>
        <w:rPr>
          <w:noProof/>
          <w:sz w:val="22"/>
        </w:rPr>
        <mc:AlternateContent>
          <mc:Choice Requires="wpg">
            <w:drawing>
              <wp:inline distT="0" distB="0" distL="0" distR="0" wp14:anchorId="2390CEF2" wp14:editId="055FCCF2">
                <wp:extent cx="5875084" cy="381381"/>
                <wp:effectExtent l="0" t="0" r="0" b="0"/>
                <wp:docPr id="12575" name="Group 12575"/>
                <wp:cNvGraphicFramePr/>
                <a:graphic xmlns:a="http://schemas.openxmlformats.org/drawingml/2006/main">
                  <a:graphicData uri="http://schemas.microsoft.com/office/word/2010/wordprocessingGroup">
                    <wpg:wgp>
                      <wpg:cNvGrpSpPr/>
                      <wpg:grpSpPr>
                        <a:xfrm>
                          <a:off x="0" y="0"/>
                          <a:ext cx="5875084" cy="381381"/>
                          <a:chOff x="0" y="0"/>
                          <a:chExt cx="5875084" cy="381381"/>
                        </a:xfrm>
                      </wpg:grpSpPr>
                      <wps:wsp>
                        <wps:cNvPr id="257" name="Rectangle 257"/>
                        <wps:cNvSpPr/>
                        <wps:spPr>
                          <a:xfrm>
                            <a:off x="66993" y="28575"/>
                            <a:ext cx="204111" cy="206453"/>
                          </a:xfrm>
                          <a:prstGeom prst="rect">
                            <a:avLst/>
                          </a:prstGeom>
                          <a:ln>
                            <a:noFill/>
                          </a:ln>
                        </wps:spPr>
                        <wps:txbx>
                          <w:txbxContent>
                            <w:p w14:paraId="3ABD7931" w14:textId="77777777" w:rsidR="00B31621" w:rsidRDefault="003B6206">
                              <w:pPr>
                                <w:spacing w:after="160" w:line="259" w:lineRule="auto"/>
                                <w:ind w:left="0" w:right="0" w:firstLine="0"/>
                                <w:jc w:val="left"/>
                              </w:pPr>
                              <w:r>
                                <w:rPr>
                                  <w:b/>
                                </w:rPr>
                                <w:t>22</w:t>
                              </w:r>
                            </w:p>
                          </w:txbxContent>
                        </wps:txbx>
                        <wps:bodyPr horzOverflow="overflow" vert="horz" lIns="0" tIns="0" rIns="0" bIns="0" rtlCol="0">
                          <a:noAutofit/>
                        </wps:bodyPr>
                      </wps:wsp>
                      <wps:wsp>
                        <wps:cNvPr id="258" name="Rectangle 258"/>
                        <wps:cNvSpPr/>
                        <wps:spPr>
                          <a:xfrm>
                            <a:off x="219393" y="28575"/>
                            <a:ext cx="936234" cy="206453"/>
                          </a:xfrm>
                          <a:prstGeom prst="rect">
                            <a:avLst/>
                          </a:prstGeom>
                          <a:ln>
                            <a:noFill/>
                          </a:ln>
                        </wps:spPr>
                        <wps:txbx>
                          <w:txbxContent>
                            <w:p w14:paraId="3A4A22B2" w14:textId="77777777" w:rsidR="00B31621" w:rsidRDefault="003B6206">
                              <w:pPr>
                                <w:spacing w:after="160" w:line="259" w:lineRule="auto"/>
                                <w:ind w:left="0" w:right="0" w:firstLine="0"/>
                                <w:jc w:val="left"/>
                              </w:pPr>
                              <w:r>
                                <w:rPr>
                                  <w:b/>
                                </w:rPr>
                                <w:t>. Insurance</w:t>
                              </w:r>
                            </w:p>
                          </w:txbxContent>
                        </wps:txbx>
                        <wps:bodyPr horzOverflow="overflow" vert="horz" lIns="0" tIns="0" rIns="0" bIns="0" rtlCol="0">
                          <a:noAutofit/>
                        </wps:bodyPr>
                      </wps:wsp>
                      <wps:wsp>
                        <wps:cNvPr id="259" name="Rectangle 259"/>
                        <wps:cNvSpPr/>
                        <wps:spPr>
                          <a:xfrm>
                            <a:off x="925258" y="28575"/>
                            <a:ext cx="45808" cy="206453"/>
                          </a:xfrm>
                          <a:prstGeom prst="rect">
                            <a:avLst/>
                          </a:prstGeom>
                          <a:ln>
                            <a:noFill/>
                          </a:ln>
                        </wps:spPr>
                        <wps:txbx>
                          <w:txbxContent>
                            <w:p w14:paraId="350D36C2" w14:textId="77777777" w:rsidR="00B31621" w:rsidRDefault="003B6206">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260" name="Rectangle 260"/>
                        <wps:cNvSpPr/>
                        <wps:spPr>
                          <a:xfrm>
                            <a:off x="5493449" y="28575"/>
                            <a:ext cx="204111" cy="206453"/>
                          </a:xfrm>
                          <a:prstGeom prst="rect">
                            <a:avLst/>
                          </a:prstGeom>
                          <a:ln>
                            <a:noFill/>
                          </a:ln>
                        </wps:spPr>
                        <wps:txbx>
                          <w:txbxContent>
                            <w:p w14:paraId="63EC9EDB" w14:textId="77777777" w:rsidR="00B31621" w:rsidRDefault="003B6206">
                              <w:pPr>
                                <w:spacing w:after="160" w:line="259" w:lineRule="auto"/>
                                <w:ind w:left="0" w:right="0" w:firstLine="0"/>
                                <w:jc w:val="left"/>
                              </w:pPr>
                              <w:r>
                                <w:rPr>
                                  <w:b/>
                                </w:rPr>
                                <w:t>12</w:t>
                              </w:r>
                            </w:p>
                          </w:txbxContent>
                        </wps:txbx>
                        <wps:bodyPr horzOverflow="overflow" vert="horz" lIns="0" tIns="0" rIns="0" bIns="0" rtlCol="0">
                          <a:noAutofit/>
                        </wps:bodyPr>
                      </wps:wsp>
                      <wps:wsp>
                        <wps:cNvPr id="261" name="Rectangle 261"/>
                        <wps:cNvSpPr/>
                        <wps:spPr>
                          <a:xfrm>
                            <a:off x="5646103" y="28575"/>
                            <a:ext cx="45808" cy="206453"/>
                          </a:xfrm>
                          <a:prstGeom prst="rect">
                            <a:avLst/>
                          </a:prstGeom>
                          <a:ln>
                            <a:noFill/>
                          </a:ln>
                        </wps:spPr>
                        <wps:txbx>
                          <w:txbxContent>
                            <w:p w14:paraId="4C016B04" w14:textId="77777777" w:rsidR="00B31621" w:rsidRDefault="003B6206">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3912" name="Shape 13912"/>
                        <wps:cNvSpPr/>
                        <wps:spPr>
                          <a:xfrm>
                            <a:off x="0" y="0"/>
                            <a:ext cx="5417185" cy="9525"/>
                          </a:xfrm>
                          <a:custGeom>
                            <a:avLst/>
                            <a:gdLst/>
                            <a:ahLst/>
                            <a:cxnLst/>
                            <a:rect l="0" t="0" r="0" b="0"/>
                            <a:pathLst>
                              <a:path w="5417185" h="9525">
                                <a:moveTo>
                                  <a:pt x="0" y="0"/>
                                </a:moveTo>
                                <a:lnTo>
                                  <a:pt x="5417185" y="0"/>
                                </a:lnTo>
                                <a:lnTo>
                                  <a:pt x="541718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13" name="Shape 13913"/>
                        <wps:cNvSpPr/>
                        <wps:spPr>
                          <a:xfrm>
                            <a:off x="5417249"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14" name="Shape 13914"/>
                        <wps:cNvSpPr/>
                        <wps:spPr>
                          <a:xfrm>
                            <a:off x="5426774" y="0"/>
                            <a:ext cx="448310" cy="9525"/>
                          </a:xfrm>
                          <a:custGeom>
                            <a:avLst/>
                            <a:gdLst/>
                            <a:ahLst/>
                            <a:cxnLst/>
                            <a:rect l="0" t="0" r="0" b="0"/>
                            <a:pathLst>
                              <a:path w="448310" h="9525">
                                <a:moveTo>
                                  <a:pt x="0" y="0"/>
                                </a:moveTo>
                                <a:lnTo>
                                  <a:pt x="448310" y="0"/>
                                </a:lnTo>
                                <a:lnTo>
                                  <a:pt x="44831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15" name="Shape 13915"/>
                        <wps:cNvSpPr/>
                        <wps:spPr>
                          <a:xfrm>
                            <a:off x="0" y="371856"/>
                            <a:ext cx="5417185" cy="9525"/>
                          </a:xfrm>
                          <a:custGeom>
                            <a:avLst/>
                            <a:gdLst/>
                            <a:ahLst/>
                            <a:cxnLst/>
                            <a:rect l="0" t="0" r="0" b="0"/>
                            <a:pathLst>
                              <a:path w="5417185" h="9525">
                                <a:moveTo>
                                  <a:pt x="0" y="0"/>
                                </a:moveTo>
                                <a:lnTo>
                                  <a:pt x="5417185" y="0"/>
                                </a:lnTo>
                                <a:lnTo>
                                  <a:pt x="541718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16" name="Shape 13916"/>
                        <wps:cNvSpPr/>
                        <wps:spPr>
                          <a:xfrm>
                            <a:off x="5417249" y="371856"/>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17" name="Shape 13917"/>
                        <wps:cNvSpPr/>
                        <wps:spPr>
                          <a:xfrm>
                            <a:off x="5426774" y="371856"/>
                            <a:ext cx="448310" cy="9525"/>
                          </a:xfrm>
                          <a:custGeom>
                            <a:avLst/>
                            <a:gdLst/>
                            <a:ahLst/>
                            <a:cxnLst/>
                            <a:rect l="0" t="0" r="0" b="0"/>
                            <a:pathLst>
                              <a:path w="448310" h="9525">
                                <a:moveTo>
                                  <a:pt x="0" y="0"/>
                                </a:moveTo>
                                <a:lnTo>
                                  <a:pt x="448310" y="0"/>
                                </a:lnTo>
                                <a:lnTo>
                                  <a:pt x="44831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390CEF2" id="Group 12575" o:spid="_x0000_s1026" style="width:462.6pt;height:30.05pt;mso-position-horizontal-relative:char;mso-position-vertical-relative:line" coordsize="58750,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">
                <v:rect id="Rectangle 257" o:spid="_x0000_s1027" style="position:absolute;left:669;top:285;width:2042;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Dpf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CIRDpfxQAAANwAAAAP&#10;AAAAAAAAAAAAAAAAAAcCAABkcnMvZG93bnJldi54bWxQSwUGAAAAAAMAAwC3AAAA+QIAAAAA&#10;" filled="f" stroked="f">
                  <v:textbox inset="0,0,0,0">
                    <w:txbxContent>
                      <w:p w14:paraId="3ABD7931" w14:textId="77777777" w:rsidR="00B31621" w:rsidRDefault="003B6206">
                        <w:pPr>
                          <w:spacing w:after="160" w:line="259" w:lineRule="auto"/>
                          <w:ind w:left="0" w:right="0" w:firstLine="0"/>
                          <w:jc w:val="left"/>
                        </w:pPr>
                        <w:r>
                          <w:rPr>
                            <w:b/>
                          </w:rPr>
                          <w:t>22</w:t>
                        </w:r>
                      </w:p>
                    </w:txbxContent>
                  </v:textbox>
                </v:rect>
                <v:rect id="Rectangle 258" o:spid="_x0000_s1028" style="position:absolute;left:2193;top:285;width:9363;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64twwAAANwAAAAPAAAAZHJzL2Rvd25yZXYueG1sRE/LasJA&#10;FN0X/IfhCt3ViQGL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duuLcMAAADcAAAADwAA&#10;AAAAAAAAAAAAAAAHAgAAZHJzL2Rvd25yZXYueG1sUEsFBgAAAAADAAMAtwAAAPcCAAAAAA==&#10;" filled="f" stroked="f">
                  <v:textbox inset="0,0,0,0">
                    <w:txbxContent>
                      <w:p w14:paraId="3A4A22B2" w14:textId="77777777" w:rsidR="00B31621" w:rsidRDefault="003B6206">
                        <w:pPr>
                          <w:spacing w:after="160" w:line="259" w:lineRule="auto"/>
                          <w:ind w:left="0" w:right="0" w:firstLine="0"/>
                          <w:jc w:val="left"/>
                        </w:pPr>
                        <w:r>
                          <w:rPr>
                            <w:b/>
                          </w:rPr>
                          <w:t>. Insurance</w:t>
                        </w:r>
                      </w:p>
                    </w:txbxContent>
                  </v:textbox>
                </v:rect>
                <v:rect id="Rectangle 259" o:spid="_x0000_s1029" style="position:absolute;left:9252;top:285;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wu2xgAAANwAAAAPAAAAZHJzL2Rvd25yZXYueG1sRI9Ba8JA&#10;FITvBf/D8oTe6qYBi4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lpcLtsYAAADcAAAA&#10;DwAAAAAAAAAAAAAAAAAHAgAAZHJzL2Rvd25yZXYueG1sUEsFBgAAAAADAAMAtwAAAPoCAAAAAA==&#10;" filled="f" stroked="f">
                  <v:textbox inset="0,0,0,0">
                    <w:txbxContent>
                      <w:p w14:paraId="350D36C2" w14:textId="77777777" w:rsidR="00B31621" w:rsidRDefault="003B6206">
                        <w:pPr>
                          <w:spacing w:after="160" w:line="259" w:lineRule="auto"/>
                          <w:ind w:left="0" w:right="0" w:firstLine="0"/>
                          <w:jc w:val="left"/>
                        </w:pPr>
                        <w:r>
                          <w:rPr>
                            <w:b/>
                          </w:rPr>
                          <w:t xml:space="preserve"> </w:t>
                        </w:r>
                      </w:p>
                    </w:txbxContent>
                  </v:textbox>
                </v:rect>
                <v:rect id="Rectangle 260" o:spid="_x0000_s1030" style="position:absolute;left:54934;top:285;width:204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" filled="f" stroked="f">
                  <v:textbox inset="0,0,0,0">
                    <w:txbxContent>
                      <w:p w14:paraId="63EC9EDB" w14:textId="77777777" w:rsidR="00B31621" w:rsidRDefault="003B6206">
                        <w:pPr>
                          <w:spacing w:after="160" w:line="259" w:lineRule="auto"/>
                          <w:ind w:left="0" w:right="0" w:firstLine="0"/>
                          <w:jc w:val="left"/>
                        </w:pPr>
                        <w:r>
                          <w:rPr>
                            <w:b/>
                          </w:rPr>
                          <w:t>12</w:t>
                        </w:r>
                      </w:p>
                    </w:txbxContent>
                  </v:textbox>
                </v:rect>
                <v:rect id="Rectangle 261" o:spid="_x0000_s1031" style="position:absolute;left:56461;top:285;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" filled="f" stroked="f">
                  <v:textbox inset="0,0,0,0">
                    <w:txbxContent>
                      <w:p w14:paraId="4C016B04" w14:textId="77777777" w:rsidR="00B31621" w:rsidRDefault="003B6206">
                        <w:pPr>
                          <w:spacing w:after="160" w:line="259" w:lineRule="auto"/>
                          <w:ind w:left="0" w:right="0" w:firstLine="0"/>
                          <w:jc w:val="left"/>
                        </w:pPr>
                        <w:r>
                          <w:rPr>
                            <w:b/>
                          </w:rPr>
                          <w:t xml:space="preserve"> </w:t>
                        </w:r>
                      </w:p>
                    </w:txbxContent>
                  </v:textbox>
                </v:rect>
                <v:shape id="Shape 13912" o:spid="_x0000_s1032" style="position:absolute;width:54171;height:95;visibility:visible;mso-wrap-style:square;v-text-anchor:top" coordsize="541718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" path="m,l5417185,r,9525l,9525,,e" fillcolor="black" stroked="f" strokeweight="0">
                  <v:stroke miterlimit="83231f" joinstyle="miter"/>
                  <v:path arrowok="t" textboxrect="0,0,5417185,9525"/>
                </v:shape>
                <v:shape id="Shape 13913" o:spid="_x0000_s1033" style="position:absolute;left:54172;width:95;height:95;visibility:visible;mso-wrap-style:square;v-text-anchor:top" coordsize="95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" path="m,l9525,r,9525l,9525,,e" fillcolor="black" stroked="f" strokeweight="0">
                  <v:stroke miterlimit="83231f" joinstyle="miter"/>
                  <v:path arrowok="t" textboxrect="0,0,9525,9525"/>
                </v:shape>
                <v:shape id="Shape 13914" o:spid="_x0000_s1034" style="position:absolute;left:54267;width:4483;height:95;visibility:visible;mso-wrap-style:square;v-text-anchor:top" coordsize="44831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" path="m,l448310,r,9525l,9525,,e" fillcolor="black" stroked="f" strokeweight="0">
                  <v:stroke miterlimit="83231f" joinstyle="miter"/>
                  <v:path arrowok="t" textboxrect="0,0,448310,9525"/>
                </v:shape>
                <v:shape id="Shape 13915" o:spid="_x0000_s1035" style="position:absolute;top:3718;width:54171;height:95;visibility:visible;mso-wrap-style:square;v-text-anchor:top" coordsize="541718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" path="m,l5417185,r,9525l,9525,,e" fillcolor="black" stroked="f" strokeweight="0">
                  <v:stroke miterlimit="83231f" joinstyle="miter"/>
                  <v:path arrowok="t" textboxrect="0,0,5417185,9525"/>
                </v:shape>
                <v:shape id="Shape 13916" o:spid="_x0000_s1036" style="position:absolute;left:54172;top:3718;width:95;height:95;visibility:visible;mso-wrap-style:square;v-text-anchor:top" coordsize="95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" path="m,l9525,r,9525l,9525,,e" fillcolor="black" stroked="f" strokeweight="0">
                  <v:stroke miterlimit="83231f" joinstyle="miter"/>
                  <v:path arrowok="t" textboxrect="0,0,9525,9525"/>
                </v:shape>
                <v:shape id="Shape 13917" o:spid="_x0000_s1037" style="position:absolute;left:54267;top:3718;width:4483;height:95;visibility:visible;mso-wrap-style:square;v-text-anchor:top" coordsize="44831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" path="m,l448310,r,9525l,9525,,e" fillcolor="black" stroked="f" strokeweight="0">
                  <v:stroke miterlimit="83231f" joinstyle="miter"/>
                  <v:path arrowok="t" textboxrect="0,0,448310,9525"/>
                </v:shape>
                <w10:anchorlock/>
              </v:group>
            </w:pict>
          </mc:Fallback>
        </mc:AlternateContent>
      </w:r>
    </w:p>
    <w:p w14:paraId="616FE5ED" w14:textId="77777777" w:rsidR="00B31621" w:rsidRDefault="003B6206">
      <w:pPr>
        <w:tabs>
          <w:tab w:val="center" w:pos="8666"/>
        </w:tabs>
        <w:spacing w:after="3" w:line="259" w:lineRule="auto"/>
        <w:ind w:left="-15" w:right="0" w:firstLine="0"/>
        <w:jc w:val="left"/>
      </w:pPr>
      <w:r>
        <w:rPr>
          <w:b/>
        </w:rPr>
        <w:lastRenderedPageBreak/>
        <w:t>23. Further Information and Advice</w:t>
      </w:r>
      <w:r>
        <w:rPr>
          <w:rFonts w:ascii="Arial" w:eastAsia="Arial" w:hAnsi="Arial" w:cs="Arial"/>
          <w:b/>
        </w:rPr>
        <w:t xml:space="preserve"> </w:t>
      </w:r>
      <w:r>
        <w:rPr>
          <w:rFonts w:ascii="Arial" w:eastAsia="Arial" w:hAnsi="Arial" w:cs="Arial"/>
          <w:b/>
        </w:rPr>
        <w:tab/>
      </w:r>
      <w:r>
        <w:rPr>
          <w:b/>
        </w:rPr>
        <w:t xml:space="preserve">12 </w:t>
      </w:r>
      <w:r>
        <w:br w:type="page"/>
      </w:r>
    </w:p>
    <w:p w14:paraId="1CD49409" w14:textId="77777777" w:rsidR="00B31621" w:rsidRDefault="003B6206">
      <w:pPr>
        <w:spacing w:after="0" w:line="259" w:lineRule="auto"/>
        <w:ind w:left="0" w:right="0" w:firstLine="0"/>
        <w:jc w:val="left"/>
      </w:pPr>
      <w:r>
        <w:rPr>
          <w:rFonts w:ascii="Arial" w:eastAsia="Arial" w:hAnsi="Arial" w:cs="Arial"/>
          <w:b/>
        </w:rPr>
        <w:lastRenderedPageBreak/>
        <w:t xml:space="preserve"> </w:t>
      </w:r>
    </w:p>
    <w:p w14:paraId="223FD611" w14:textId="77777777" w:rsidR="00B31621" w:rsidRDefault="003B6206">
      <w:pPr>
        <w:spacing w:after="3" w:line="259" w:lineRule="auto"/>
        <w:ind w:left="0" w:right="0" w:firstLine="0"/>
        <w:jc w:val="left"/>
      </w:pPr>
      <w:r>
        <w:rPr>
          <w:b/>
          <w:sz w:val="23"/>
        </w:rPr>
        <w:t xml:space="preserve"> </w:t>
      </w:r>
    </w:p>
    <w:p w14:paraId="060417E1" w14:textId="77777777" w:rsidR="00B31621" w:rsidRDefault="003B6206">
      <w:pPr>
        <w:pStyle w:val="Heading1"/>
        <w:ind w:left="-5"/>
      </w:pPr>
      <w:r>
        <w:t xml:space="preserve">1. Scope </w:t>
      </w:r>
    </w:p>
    <w:p w14:paraId="6614D413" w14:textId="43FD7593" w:rsidR="00B31621" w:rsidRDefault="003B6206">
      <w:pPr>
        <w:ind w:left="-5" w:right="9"/>
      </w:pPr>
      <w:r>
        <w:t xml:space="preserve">This policy applies to all Educational Visits involving students at Kenton.  It applies regardless of whether the activities take place within or outside of normal working hours, including weekends and holiday periods. </w:t>
      </w:r>
    </w:p>
    <w:p w14:paraId="4818C5BA" w14:textId="77777777" w:rsidR="00B31621" w:rsidRDefault="003B6206">
      <w:pPr>
        <w:spacing w:after="0" w:line="259" w:lineRule="auto"/>
        <w:ind w:left="0" w:right="0" w:firstLine="0"/>
        <w:jc w:val="left"/>
      </w:pPr>
      <w:r>
        <w:t xml:space="preserve"> </w:t>
      </w:r>
    </w:p>
    <w:p w14:paraId="79664ED4" w14:textId="725E411D" w:rsidR="00B31621" w:rsidRDefault="003B6206">
      <w:pPr>
        <w:ind w:left="-5" w:right="9"/>
      </w:pPr>
      <w:r>
        <w:t xml:space="preserve">Educational Visits are defined as events that involve students being away from the normal school sites, while in the care of the Kenton. This includes visits, outings, school trips and off-site activities such as: local visits to parks, museums, libraries and sports facilities; cultural, educational, recreational and exchange trips; outdoor activities; residentials; field trips. </w:t>
      </w:r>
    </w:p>
    <w:p w14:paraId="64EB082F" w14:textId="77777777" w:rsidR="00B31621" w:rsidRDefault="003B6206">
      <w:pPr>
        <w:spacing w:after="0" w:line="259" w:lineRule="auto"/>
        <w:ind w:left="0" w:right="0" w:firstLine="0"/>
        <w:jc w:val="left"/>
      </w:pPr>
      <w:r>
        <w:t xml:space="preserve"> </w:t>
      </w:r>
    </w:p>
    <w:p w14:paraId="27A5E5F1" w14:textId="77777777" w:rsidR="00B31621" w:rsidRDefault="003B6206">
      <w:pPr>
        <w:pStyle w:val="Heading1"/>
        <w:ind w:left="-5"/>
      </w:pPr>
      <w:r>
        <w:t xml:space="preserve">2. Outdoor Education Advisers Panel (OEAP) National Guidance </w:t>
      </w:r>
    </w:p>
    <w:p w14:paraId="2273137D" w14:textId="77777777" w:rsidR="00B31621" w:rsidRDefault="003B6206">
      <w:pPr>
        <w:ind w:left="-5" w:right="9"/>
      </w:pPr>
      <w:r>
        <w:t xml:space="preserve">This Policy adopts the National Guidance published by the Outdoor Education Advisers Panel (OEAP) on the website </w:t>
      </w:r>
      <w:r>
        <w:rPr>
          <w:color w:val="1F497D"/>
          <w:u w:val="single" w:color="1F497D"/>
        </w:rPr>
        <w:t>http://oeapng.info</w:t>
      </w:r>
      <w:r>
        <w:rPr>
          <w:color w:val="1F497D"/>
        </w:rPr>
        <w:t>.</w:t>
      </w:r>
      <w:r>
        <w:t xml:space="preserve"> This provides detailed guidance about many aspects of outdoor learning, off-site visits and Learning Outside the Classroom, and includes Essential Reading for all key staff roles. Specific information can be found by using the site’s search function. </w:t>
      </w:r>
    </w:p>
    <w:p w14:paraId="33BF5A15" w14:textId="77777777" w:rsidR="00B31621" w:rsidRDefault="003B6206">
      <w:pPr>
        <w:spacing w:after="0" w:line="259" w:lineRule="auto"/>
        <w:ind w:left="0" w:right="0" w:firstLine="0"/>
        <w:jc w:val="left"/>
      </w:pPr>
      <w:r>
        <w:t xml:space="preserve"> </w:t>
      </w:r>
    </w:p>
    <w:p w14:paraId="4EEFAFE5" w14:textId="15C978C6" w:rsidR="00B31621" w:rsidRDefault="003B6206">
      <w:pPr>
        <w:ind w:left="-5" w:right="9"/>
      </w:pPr>
      <w:r>
        <w:t>Kenton employees must follow that guidance as well as the requirements of this Policy. Should there be any conflicting areas, then this Policy and Kenton’s other relevant policies take precedence, and clarification should be sought from</w:t>
      </w:r>
      <w:r w:rsidR="003B5FE5">
        <w:t xml:space="preserve"> Ian Grayson, Trust Estates Manager (</w:t>
      </w:r>
      <w:hyperlink r:id="rId8" w:history="1">
        <w:r w:rsidR="003B5FE5" w:rsidRPr="006E5DF5">
          <w:rPr>
            <w:rStyle w:val="Hyperlink"/>
          </w:rPr>
          <w:t>ian.grayson@kenton.newcastle.gov.uk</w:t>
        </w:r>
      </w:hyperlink>
      <w:r w:rsidR="003B5FE5">
        <w:t xml:space="preserve"> )</w:t>
      </w:r>
      <w:r>
        <w:t xml:space="preserve"> </w:t>
      </w:r>
    </w:p>
    <w:p w14:paraId="5C3BBCFB" w14:textId="77777777" w:rsidR="00B31621" w:rsidRDefault="003B6206">
      <w:pPr>
        <w:spacing w:after="0" w:line="259" w:lineRule="auto"/>
        <w:ind w:left="0" w:right="0" w:firstLine="0"/>
        <w:jc w:val="left"/>
      </w:pPr>
      <w:r>
        <w:t xml:space="preserve"> </w:t>
      </w:r>
    </w:p>
    <w:p w14:paraId="7ACDCC63" w14:textId="77777777" w:rsidR="00B31621" w:rsidRDefault="003B6206">
      <w:pPr>
        <w:pStyle w:val="Heading1"/>
        <w:ind w:left="-5"/>
      </w:pPr>
      <w:r>
        <w:t xml:space="preserve">3. Educational Visits Advisory Service (EVAS) </w:t>
      </w:r>
    </w:p>
    <w:p w14:paraId="4426DEB0" w14:textId="6B494F64" w:rsidR="00B31621" w:rsidRDefault="003B6206">
      <w:pPr>
        <w:ind w:left="-5" w:right="106"/>
      </w:pPr>
      <w:r>
        <w:t xml:space="preserve">Kenton buys into Educational Visits Advisory Service (EVAS) through </w:t>
      </w:r>
      <w:r w:rsidR="00FC6DA2">
        <w:t xml:space="preserve">South Tyneside </w:t>
      </w:r>
      <w:r>
        <w:t xml:space="preserve">Council. </w:t>
      </w:r>
    </w:p>
    <w:p w14:paraId="2239CEFF" w14:textId="77777777" w:rsidR="00B31621" w:rsidRDefault="003B6206">
      <w:pPr>
        <w:spacing w:after="0" w:line="259" w:lineRule="auto"/>
        <w:ind w:left="0" w:right="0" w:firstLine="0"/>
        <w:jc w:val="left"/>
      </w:pPr>
      <w:r>
        <w:t xml:space="preserve"> </w:t>
      </w:r>
    </w:p>
    <w:p w14:paraId="47ED608A" w14:textId="77777777" w:rsidR="00863E8A" w:rsidRDefault="003B6206">
      <w:pPr>
        <w:ind w:left="-5" w:right="9"/>
      </w:pPr>
      <w:r>
        <w:t xml:space="preserve">The EVAS is delivered by professional from the Schools </w:t>
      </w:r>
      <w:r w:rsidR="00863E8A">
        <w:t xml:space="preserve">Educational Visits </w:t>
      </w:r>
      <w:r>
        <w:t xml:space="preserve">Team. </w:t>
      </w:r>
    </w:p>
    <w:p w14:paraId="1EC6C3F0" w14:textId="4BC8D51F" w:rsidR="00B31621" w:rsidRDefault="00863E8A">
      <w:pPr>
        <w:ind w:left="-5" w:right="9"/>
      </w:pPr>
      <w:r>
        <w:t>They provide the following assistance -</w:t>
      </w:r>
      <w:r w:rsidR="003B6206">
        <w:t xml:space="preserve"> </w:t>
      </w:r>
    </w:p>
    <w:p w14:paraId="1A60E512" w14:textId="77777777" w:rsidR="00B31621" w:rsidRDefault="003B6206">
      <w:pPr>
        <w:numPr>
          <w:ilvl w:val="0"/>
          <w:numId w:val="1"/>
        </w:numPr>
        <w:spacing w:after="53"/>
        <w:ind w:left="721" w:right="272" w:hanging="360"/>
      </w:pPr>
      <w:r>
        <w:t xml:space="preserve">The provision of this policy on Educational Visits.  This provides a management framework for </w:t>
      </w:r>
      <w:proofErr w:type="gramStart"/>
      <w:r>
        <w:t>schools</w:t>
      </w:r>
      <w:proofErr w:type="gramEnd"/>
      <w:r>
        <w:t xml:space="preserve"> educational visits and is available on the Schools H&amp;S Webpages. </w:t>
      </w:r>
    </w:p>
    <w:p w14:paraId="12409E83" w14:textId="77777777" w:rsidR="00B31621" w:rsidRDefault="003B6206">
      <w:pPr>
        <w:numPr>
          <w:ilvl w:val="0"/>
          <w:numId w:val="1"/>
        </w:numPr>
        <w:ind w:left="721" w:right="272" w:hanging="360"/>
      </w:pPr>
      <w:r>
        <w:t xml:space="preserve">Provision of H&amp;S advice in relation to visit planning and assessment processes. </w:t>
      </w:r>
    </w:p>
    <w:p w14:paraId="540DB931" w14:textId="77777777" w:rsidR="00B31621" w:rsidRDefault="003B6206">
      <w:pPr>
        <w:numPr>
          <w:ilvl w:val="0"/>
          <w:numId w:val="1"/>
        </w:numPr>
        <w:spacing w:after="51"/>
        <w:ind w:left="721" w:right="272" w:hanging="360"/>
      </w:pPr>
      <w:r>
        <w:t xml:space="preserve">Facilitation of initial training for Educational Visits Co-ordinators (EVCs), Visit Leaders and Assistant Visit Leaders as well as re-validation training for EVCs after 3 years. </w:t>
      </w:r>
    </w:p>
    <w:p w14:paraId="2D867015" w14:textId="77777777" w:rsidR="00B31621" w:rsidRDefault="003B6206">
      <w:pPr>
        <w:numPr>
          <w:ilvl w:val="0"/>
          <w:numId w:val="1"/>
        </w:numPr>
        <w:ind w:left="721" w:right="272" w:hanging="360"/>
      </w:pPr>
      <w:r>
        <w:t xml:space="preserve">Independent validation and scrutiny of the assessment &amp; planning processes for category 3 to confirm that assessments and planning processes are satisfactory. </w:t>
      </w:r>
    </w:p>
    <w:p w14:paraId="1986A2F5" w14:textId="77777777" w:rsidR="00B31621" w:rsidRDefault="003B6206">
      <w:pPr>
        <w:numPr>
          <w:ilvl w:val="0"/>
          <w:numId w:val="1"/>
        </w:numPr>
        <w:ind w:left="721" w:right="272" w:hanging="360"/>
      </w:pPr>
      <w:r>
        <w:t xml:space="preserve">Approving Activity Leaders for Adventurous activities  </w:t>
      </w:r>
    </w:p>
    <w:p w14:paraId="5D2655DD" w14:textId="77777777" w:rsidR="00B31621" w:rsidRDefault="003B6206">
      <w:pPr>
        <w:numPr>
          <w:ilvl w:val="0"/>
          <w:numId w:val="1"/>
        </w:numPr>
        <w:ind w:left="721" w:right="272" w:hanging="360"/>
      </w:pPr>
      <w:r>
        <w:t xml:space="preserve">Auditing management arrangements for educational visits on a sampled basis.  </w:t>
      </w:r>
    </w:p>
    <w:p w14:paraId="22B8D65B" w14:textId="77777777" w:rsidR="00B31621" w:rsidRDefault="003B6206">
      <w:pPr>
        <w:spacing w:after="0" w:line="259" w:lineRule="auto"/>
        <w:ind w:left="0" w:right="0" w:firstLine="0"/>
        <w:jc w:val="left"/>
      </w:pPr>
      <w:r>
        <w:t xml:space="preserve"> </w:t>
      </w:r>
    </w:p>
    <w:p w14:paraId="28041715" w14:textId="77777777" w:rsidR="00B31621" w:rsidRDefault="003B6206">
      <w:pPr>
        <w:pStyle w:val="Heading1"/>
        <w:spacing w:after="224"/>
        <w:ind w:left="-5"/>
      </w:pPr>
      <w:r>
        <w:lastRenderedPageBreak/>
        <w:t xml:space="preserve">4. EVOLVE </w:t>
      </w:r>
    </w:p>
    <w:p w14:paraId="3FF6590B" w14:textId="77777777" w:rsidR="00B31621" w:rsidRDefault="003B6206">
      <w:pPr>
        <w:ind w:left="-5" w:right="546"/>
      </w:pPr>
      <w:r>
        <w:t xml:space="preserve">The service delivered by EVAS is supported by EVOLVE an online information management system, used for the notification, approval and monitoring of visits and adventurous activities.  </w:t>
      </w:r>
    </w:p>
    <w:p w14:paraId="68C2E1B8" w14:textId="77777777" w:rsidR="00B31621" w:rsidRDefault="003B6206">
      <w:pPr>
        <w:spacing w:after="0" w:line="259" w:lineRule="auto"/>
        <w:ind w:left="0" w:right="0" w:firstLine="0"/>
        <w:jc w:val="left"/>
      </w:pPr>
      <w:r>
        <w:t xml:space="preserve"> </w:t>
      </w:r>
    </w:p>
    <w:p w14:paraId="175A512C" w14:textId="77777777" w:rsidR="00B31621" w:rsidRDefault="003B6206">
      <w:pPr>
        <w:ind w:left="-5" w:right="180"/>
      </w:pPr>
      <w:r>
        <w:t xml:space="preserve">EVOLVE provides an auditable record trail and enables Head Teachers EVCs to monitor the assessment and planning processes carried out for each visit.  </w:t>
      </w:r>
    </w:p>
    <w:p w14:paraId="7EE8CC16" w14:textId="77777777" w:rsidR="00B31621" w:rsidRDefault="003B6206">
      <w:pPr>
        <w:spacing w:after="0" w:line="259" w:lineRule="auto"/>
        <w:ind w:left="0" w:right="0" w:firstLine="0"/>
        <w:jc w:val="left"/>
      </w:pPr>
      <w:r>
        <w:t xml:space="preserve"> </w:t>
      </w:r>
    </w:p>
    <w:p w14:paraId="43EA76A8" w14:textId="77777777" w:rsidR="00B31621" w:rsidRDefault="003B6206">
      <w:pPr>
        <w:ind w:left="-5" w:right="538"/>
      </w:pPr>
      <w:r>
        <w:t xml:space="preserve">It’s recommended that all visits be recorded on Evolve, but as a minimum all Category 2 and 3 visits must be recorded on EVOLVE. These visits are automatically notified to the EVAS for independent scrutiny and validation of the assessment and planning processes. </w:t>
      </w:r>
    </w:p>
    <w:p w14:paraId="14D6DEE1" w14:textId="77777777" w:rsidR="00B31621" w:rsidRDefault="003B6206">
      <w:pPr>
        <w:spacing w:after="0" w:line="259" w:lineRule="auto"/>
        <w:ind w:left="0" w:right="0" w:firstLine="0"/>
        <w:jc w:val="left"/>
      </w:pPr>
      <w:r>
        <w:t xml:space="preserve"> </w:t>
      </w:r>
    </w:p>
    <w:p w14:paraId="12311B08" w14:textId="538B0BD2" w:rsidR="00B31621" w:rsidRDefault="003B6206">
      <w:pPr>
        <w:ind w:left="-5" w:right="535"/>
      </w:pPr>
      <w:r>
        <w:t xml:space="preserve">Where Kenton </w:t>
      </w:r>
      <w:r w:rsidR="00863E8A">
        <w:t>chooses</w:t>
      </w:r>
      <w:r>
        <w:t xml:space="preserve"> not to enter visits in categories 1 and 2 on EVOLVE, they ensure that records are kept in another appropriate format and be available for inspection.  </w:t>
      </w:r>
    </w:p>
    <w:p w14:paraId="00E6CBB7" w14:textId="77777777" w:rsidR="00B31621" w:rsidRDefault="003B6206">
      <w:pPr>
        <w:spacing w:after="0" w:line="259" w:lineRule="auto"/>
        <w:ind w:left="0" w:right="0" w:firstLine="0"/>
        <w:jc w:val="left"/>
      </w:pPr>
      <w:r>
        <w:t xml:space="preserve"> </w:t>
      </w:r>
    </w:p>
    <w:p w14:paraId="3121DBBC" w14:textId="77777777" w:rsidR="00B31621" w:rsidRDefault="003B6206">
      <w:pPr>
        <w:spacing w:after="0" w:line="259" w:lineRule="auto"/>
        <w:ind w:left="0" w:right="0" w:firstLine="0"/>
        <w:jc w:val="left"/>
      </w:pPr>
      <w:r>
        <w:t xml:space="preserve"> </w:t>
      </w:r>
    </w:p>
    <w:p w14:paraId="7AF7943C" w14:textId="77777777" w:rsidR="00B31621" w:rsidRDefault="003B6206">
      <w:pPr>
        <w:pStyle w:val="Heading1"/>
        <w:ind w:left="-5"/>
      </w:pPr>
      <w:r>
        <w:t xml:space="preserve">5. Benefits </w:t>
      </w:r>
    </w:p>
    <w:p w14:paraId="06FEBE72" w14:textId="77777777" w:rsidR="00B31621" w:rsidRDefault="003B6206">
      <w:pPr>
        <w:ind w:left="-5" w:right="9"/>
      </w:pPr>
      <w:r>
        <w:t xml:space="preserve">All students should be given the opportunity of learning outside the classroom and benefiting from participation in a wide range of visits and activities, including activities in the school grounds, local activities, day visits, residentials, field studies and outdoor adventure activities. Whether their emphasis is adventurous, academic, sporting, cultural, spiritual or creative, off-site visits and outdoor learning provide first-hand experiences that inspire and enhance learning and development in ways which are powerful and lasting. They provide a foundation for life-long learning and healthy lifestyles, as well as complementing classroom learning and enriching the curriculum. </w:t>
      </w:r>
    </w:p>
    <w:p w14:paraId="75DCC1D9" w14:textId="77777777" w:rsidR="00B31621" w:rsidRDefault="003B6206">
      <w:pPr>
        <w:spacing w:after="0" w:line="259" w:lineRule="auto"/>
        <w:ind w:left="0" w:right="0" w:firstLine="0"/>
        <w:jc w:val="left"/>
      </w:pPr>
      <w:r>
        <w:t xml:space="preserve"> </w:t>
      </w:r>
    </w:p>
    <w:p w14:paraId="3105A901" w14:textId="77777777" w:rsidR="00B31621" w:rsidRDefault="003B6206">
      <w:pPr>
        <w:pStyle w:val="Heading1"/>
        <w:ind w:left="-5"/>
      </w:pPr>
      <w:r>
        <w:t xml:space="preserve">6. Assessment of Risk </w:t>
      </w:r>
    </w:p>
    <w:p w14:paraId="413158EA" w14:textId="4155C69A" w:rsidR="00B31621" w:rsidRDefault="003B6206">
      <w:pPr>
        <w:ind w:left="-5" w:right="9"/>
      </w:pPr>
      <w:r>
        <w:t xml:space="preserve">Kenton has a legal duty to ensure that risks are managed - requiring them to be reduced to an “acceptable” or “tolerable” level.  This requires that proportional (suitable and sufficient) risk management systems are in place.  This Policy sets out the arrangements that Kenton has made for managing the risks inherent in Educational Visits. </w:t>
      </w:r>
    </w:p>
    <w:p w14:paraId="1D2CE2C6" w14:textId="77777777" w:rsidR="00B31621" w:rsidRDefault="003B6206">
      <w:pPr>
        <w:spacing w:after="0" w:line="259" w:lineRule="auto"/>
        <w:ind w:left="0" w:right="0" w:firstLine="0"/>
        <w:jc w:val="left"/>
      </w:pPr>
      <w:r>
        <w:t xml:space="preserve"> </w:t>
      </w:r>
    </w:p>
    <w:p w14:paraId="5E0490A2" w14:textId="77777777" w:rsidR="00B31621" w:rsidRDefault="003B6206">
      <w:pPr>
        <w:ind w:left="-5" w:right="9"/>
      </w:pPr>
      <w:r>
        <w:t xml:space="preserve">Risk is a natural part of everyday life: all activities involve risk, and it is impossible to </w:t>
      </w:r>
      <w:proofErr w:type="gramStart"/>
      <w:r>
        <w:t>entirely eliminate</w:t>
      </w:r>
      <w:proofErr w:type="gramEnd"/>
      <w:r>
        <w:t xml:space="preserve"> it. Indeed, the human spirit thrives on adventure and journeys into new territory, both physical and metaphorical.  As they grow up, it is important that children and young people learn to understand and manage risk and uncertainty for themselves.  If we attempt to ‘wrap them in cotton wool’, they not only miss huge opportunities for growth but also emerge into society unable to cope with the uncertainties and challenges of adult life.   </w:t>
      </w:r>
    </w:p>
    <w:p w14:paraId="702D745C" w14:textId="77777777" w:rsidR="00B31621" w:rsidRDefault="003B6206">
      <w:pPr>
        <w:spacing w:after="0" w:line="259" w:lineRule="auto"/>
        <w:ind w:left="0" w:right="0" w:firstLine="0"/>
        <w:jc w:val="left"/>
      </w:pPr>
      <w:r>
        <w:t xml:space="preserve"> </w:t>
      </w:r>
    </w:p>
    <w:p w14:paraId="1AD5E1A3" w14:textId="77777777" w:rsidR="00B31621" w:rsidRDefault="003B6206">
      <w:pPr>
        <w:ind w:left="-5" w:right="9"/>
      </w:pPr>
      <w:r>
        <w:t xml:space="preserve">Well-managed Educational Visits, including outdoor and adventurous activities, play a vital part in helping children and young people to learn about the real world, and to understand and manage risks for themselves. </w:t>
      </w:r>
    </w:p>
    <w:p w14:paraId="1A3DF991" w14:textId="77777777" w:rsidR="00B31621" w:rsidRDefault="003B6206">
      <w:pPr>
        <w:spacing w:after="0" w:line="259" w:lineRule="auto"/>
        <w:ind w:left="0" w:right="0" w:firstLine="0"/>
        <w:jc w:val="left"/>
      </w:pPr>
      <w:r>
        <w:t xml:space="preserve"> </w:t>
      </w:r>
    </w:p>
    <w:p w14:paraId="569BF0DD" w14:textId="244032F7" w:rsidR="00B31621" w:rsidRDefault="003B6206">
      <w:pPr>
        <w:ind w:left="-5" w:right="9"/>
      </w:pPr>
      <w:r>
        <w:lastRenderedPageBreak/>
        <w:t xml:space="preserve">Kenton therefore provides such opportunities for their students. Good planning and management of activities should be about reducing risks to an acceptable level, </w:t>
      </w:r>
      <w:proofErr w:type="gramStart"/>
      <w:r>
        <w:t>taking into account</w:t>
      </w:r>
      <w:proofErr w:type="gramEnd"/>
      <w:r>
        <w:t xml:space="preserve"> the potential benefits.  The starting point for such a risk-benefit assessment should be a consideration of the targeted benefits and learning outcomes.  This appreciation of the benefits to be gained through participating informs decisions about whether residual risks (</w:t>
      </w:r>
      <w:proofErr w:type="gramStart"/>
      <w:r>
        <w:t>i.e.</w:t>
      </w:r>
      <w:proofErr w:type="gramEnd"/>
      <w:r>
        <w:t xml:space="preserve"> the risks remaining after control measures have been put in place) are acceptable.  The Health &amp; Safety Executive endorses this approach through its “Principles of Sensible Risk Management”, and advocates that it is important that young people are exposed to </w:t>
      </w:r>
      <w:proofErr w:type="spellStart"/>
      <w:r>
        <w:t>wellmanaged</w:t>
      </w:r>
      <w:proofErr w:type="spellEnd"/>
      <w:r>
        <w:t xml:space="preserve"> risks so that they learn how to manage risk for themselves. </w:t>
      </w:r>
    </w:p>
    <w:p w14:paraId="3774292D" w14:textId="77777777" w:rsidR="00B31621" w:rsidRDefault="003B6206">
      <w:pPr>
        <w:spacing w:after="0" w:line="259" w:lineRule="auto"/>
        <w:ind w:left="0" w:right="0" w:firstLine="0"/>
        <w:jc w:val="left"/>
      </w:pPr>
      <w:r>
        <w:t xml:space="preserve"> </w:t>
      </w:r>
    </w:p>
    <w:p w14:paraId="7E5C637C" w14:textId="0696E051" w:rsidR="00B31621" w:rsidRDefault="003B6206">
      <w:pPr>
        <w:ind w:left="-5" w:right="9"/>
      </w:pPr>
      <w:r>
        <w:t xml:space="preserve">Employees who follow this Policy, work within the limits of their own competence, and use their common sense and professional judgement will be fully supported by Kenton. </w:t>
      </w:r>
    </w:p>
    <w:p w14:paraId="39617878" w14:textId="77777777" w:rsidR="00B31621" w:rsidRDefault="003B6206">
      <w:pPr>
        <w:spacing w:after="0" w:line="259" w:lineRule="auto"/>
        <w:ind w:left="0" w:right="0" w:firstLine="0"/>
        <w:jc w:val="left"/>
      </w:pPr>
      <w:r>
        <w:t xml:space="preserve"> </w:t>
      </w:r>
    </w:p>
    <w:p w14:paraId="6B576723" w14:textId="77777777" w:rsidR="00B31621" w:rsidRDefault="003B6206">
      <w:pPr>
        <w:ind w:left="-5" w:right="9"/>
      </w:pPr>
      <w:r>
        <w:t xml:space="preserve">Although some paperwork is required in order to record and communicate the decisions made, risk management should be largely a common-sense process centred upon competent staff.  It should focus on significant risks, not trivial ones, and it should not become a restrictive and onerous bureaucratic exercise. </w:t>
      </w:r>
    </w:p>
    <w:p w14:paraId="131C97DD" w14:textId="77777777" w:rsidR="00B31621" w:rsidRDefault="003B6206">
      <w:pPr>
        <w:spacing w:after="0" w:line="259" w:lineRule="auto"/>
        <w:ind w:left="0" w:right="0" w:firstLine="0"/>
        <w:jc w:val="left"/>
      </w:pPr>
      <w:r>
        <w:t xml:space="preserve"> </w:t>
      </w:r>
    </w:p>
    <w:p w14:paraId="4AFAAD5C" w14:textId="3FA502BE" w:rsidR="00B31621" w:rsidRDefault="003B6206">
      <w:pPr>
        <w:ind w:left="-5" w:right="9"/>
      </w:pPr>
      <w:r>
        <w:t xml:space="preserve">Risk assessment is a legal requirement and assessing risks associated with Educational Visits is no different.  </w:t>
      </w:r>
      <w:r w:rsidR="00863E8A">
        <w:t>However,</w:t>
      </w:r>
      <w:r>
        <w:t xml:space="preserve"> this does not need to be a complicated process. It is simply a systematic examination of what might harm </w:t>
      </w:r>
      <w:r w:rsidR="00863E8A">
        <w:t>people and</w:t>
      </w:r>
      <w:r>
        <w:t xml:space="preserve"> should be based on common sense. Although an assessment is always required, a written risk assessment is only required when significant risks have been identified. The reasons for recording significant risks include: </w:t>
      </w:r>
    </w:p>
    <w:p w14:paraId="0DD9857B" w14:textId="77777777" w:rsidR="00B31621" w:rsidRDefault="003B6206">
      <w:pPr>
        <w:spacing w:after="21" w:line="259" w:lineRule="auto"/>
        <w:ind w:left="0" w:right="0" w:firstLine="0"/>
        <w:jc w:val="left"/>
      </w:pPr>
      <w:r>
        <w:t xml:space="preserve"> </w:t>
      </w:r>
    </w:p>
    <w:p w14:paraId="6CE2781A" w14:textId="77777777" w:rsidR="00B31621" w:rsidRDefault="003B6206">
      <w:pPr>
        <w:numPr>
          <w:ilvl w:val="0"/>
          <w:numId w:val="2"/>
        </w:numPr>
        <w:ind w:right="9" w:hanging="720"/>
      </w:pPr>
      <w:r>
        <w:t xml:space="preserve">Deciding whether to proceed, modify or cancel a proposed visit or activity </w:t>
      </w:r>
    </w:p>
    <w:p w14:paraId="47267508" w14:textId="77777777" w:rsidR="00B31621" w:rsidRDefault="003B6206">
      <w:pPr>
        <w:numPr>
          <w:ilvl w:val="0"/>
          <w:numId w:val="2"/>
        </w:numPr>
        <w:ind w:right="9" w:hanging="720"/>
      </w:pPr>
      <w:r>
        <w:t xml:space="preserve">Deciding what precautions need to be taken to prevent unnecessary harm </w:t>
      </w:r>
    </w:p>
    <w:p w14:paraId="296489DA" w14:textId="77777777" w:rsidR="00B31621" w:rsidRDefault="003B6206">
      <w:pPr>
        <w:numPr>
          <w:ilvl w:val="0"/>
          <w:numId w:val="2"/>
        </w:numPr>
        <w:ind w:right="9" w:hanging="720"/>
      </w:pPr>
      <w:r>
        <w:t xml:space="preserve">Making the planning process systematic and thorough </w:t>
      </w:r>
    </w:p>
    <w:p w14:paraId="110930C9" w14:textId="77777777" w:rsidR="00B31621" w:rsidRDefault="003B6206">
      <w:pPr>
        <w:numPr>
          <w:ilvl w:val="0"/>
          <w:numId w:val="2"/>
        </w:numPr>
        <w:ind w:right="9" w:hanging="720"/>
      </w:pPr>
      <w:r>
        <w:t xml:space="preserve">Informing all those involved about the risks and precautions </w:t>
      </w:r>
    </w:p>
    <w:p w14:paraId="28A15887" w14:textId="77777777" w:rsidR="00B31621" w:rsidRDefault="003B6206">
      <w:pPr>
        <w:numPr>
          <w:ilvl w:val="0"/>
          <w:numId w:val="2"/>
        </w:numPr>
        <w:ind w:right="9" w:hanging="720"/>
      </w:pPr>
      <w:r>
        <w:t xml:space="preserve">Providing evidence for those responsible for approving a visit </w:t>
      </w:r>
    </w:p>
    <w:p w14:paraId="50CDEDC9" w14:textId="77777777" w:rsidR="00B31621" w:rsidRDefault="003B6206">
      <w:pPr>
        <w:numPr>
          <w:ilvl w:val="0"/>
          <w:numId w:val="2"/>
        </w:numPr>
        <w:ind w:right="9" w:hanging="720"/>
      </w:pPr>
      <w:r>
        <w:t xml:space="preserve">Demonstrating that good practice has been observed in the case of an incident. </w:t>
      </w:r>
    </w:p>
    <w:p w14:paraId="07282173" w14:textId="77777777" w:rsidR="00B31621" w:rsidRDefault="003B6206">
      <w:pPr>
        <w:spacing w:after="0" w:line="259" w:lineRule="auto"/>
        <w:ind w:left="0" w:right="0" w:firstLine="0"/>
        <w:jc w:val="left"/>
      </w:pPr>
      <w:r>
        <w:t xml:space="preserve"> </w:t>
      </w:r>
    </w:p>
    <w:p w14:paraId="2997DBB2" w14:textId="77777777" w:rsidR="00B31621" w:rsidRDefault="003B6206">
      <w:pPr>
        <w:ind w:left="-5" w:right="9"/>
      </w:pPr>
      <w:r>
        <w:t xml:space="preserve">It is also necessary to include an assessment of risk to staff members during visits that may not be identified during the assessment of risk to students taking part (for example, violence at work). </w:t>
      </w:r>
    </w:p>
    <w:p w14:paraId="41D407DE" w14:textId="77777777" w:rsidR="00B31621" w:rsidRDefault="003B6206">
      <w:pPr>
        <w:spacing w:after="0" w:line="259" w:lineRule="auto"/>
        <w:ind w:left="0" w:right="0" w:firstLine="0"/>
        <w:jc w:val="left"/>
      </w:pPr>
      <w:r>
        <w:t xml:space="preserve"> </w:t>
      </w:r>
    </w:p>
    <w:p w14:paraId="7E3E9F12" w14:textId="77777777" w:rsidR="00B31621" w:rsidRDefault="003B6206">
      <w:pPr>
        <w:ind w:left="-5" w:right="9"/>
      </w:pPr>
      <w:r>
        <w:t xml:space="preserve">Further information about risk assessment can be found on the OEAP National Guidance website (see section 2 above). </w:t>
      </w:r>
    </w:p>
    <w:p w14:paraId="4369640F" w14:textId="77777777" w:rsidR="00B31621" w:rsidRDefault="003B6206">
      <w:pPr>
        <w:spacing w:after="0" w:line="259" w:lineRule="auto"/>
        <w:ind w:left="0" w:right="0" w:firstLine="0"/>
        <w:jc w:val="left"/>
      </w:pPr>
      <w:r>
        <w:t xml:space="preserve"> </w:t>
      </w:r>
    </w:p>
    <w:p w14:paraId="3D306A4B" w14:textId="77777777" w:rsidR="00B31621" w:rsidRDefault="003B6206">
      <w:pPr>
        <w:pStyle w:val="Heading1"/>
        <w:ind w:left="-5"/>
      </w:pPr>
      <w:r>
        <w:t xml:space="preserve">7. Inclusion &amp; Equality </w:t>
      </w:r>
    </w:p>
    <w:p w14:paraId="056A86BB" w14:textId="77777777" w:rsidR="00B31621" w:rsidRDefault="003B6206">
      <w:pPr>
        <w:ind w:left="-5" w:right="9"/>
      </w:pPr>
      <w:r>
        <w:t xml:space="preserve">Educational Visits should be available to all students, regardless of background or abilities. Establishments must ensure that their provision meets the requirements of the Equality Act </w:t>
      </w:r>
    </w:p>
    <w:p w14:paraId="62BF7259" w14:textId="77777777" w:rsidR="00B31621" w:rsidRDefault="003B6206">
      <w:pPr>
        <w:ind w:left="-5" w:right="9"/>
      </w:pPr>
      <w:r>
        <w:t xml:space="preserve">2010, the Disability Discrimination Act 1995 and the Special Educational Needs and Disability Act 2001. Guidance about inclusion can be found on the OEAP National Guidance website (see section 2 above). </w:t>
      </w:r>
    </w:p>
    <w:p w14:paraId="6592A5EF" w14:textId="77777777" w:rsidR="00B31621" w:rsidRDefault="003B6206">
      <w:pPr>
        <w:spacing w:after="0" w:line="259" w:lineRule="auto"/>
        <w:ind w:left="0" w:right="0" w:firstLine="0"/>
        <w:jc w:val="left"/>
      </w:pPr>
      <w:r>
        <w:lastRenderedPageBreak/>
        <w:t xml:space="preserve"> </w:t>
      </w:r>
    </w:p>
    <w:p w14:paraId="45F4A75A" w14:textId="77777777" w:rsidR="00B31621" w:rsidRDefault="003B6206">
      <w:pPr>
        <w:pStyle w:val="Heading1"/>
        <w:ind w:left="-5"/>
      </w:pPr>
      <w:r>
        <w:t xml:space="preserve">8. Review &amp; Evaluation </w:t>
      </w:r>
    </w:p>
    <w:p w14:paraId="55C50641" w14:textId="63E111E7" w:rsidR="00B31621" w:rsidRDefault="003B6206">
      <w:pPr>
        <w:ind w:left="-5" w:right="9"/>
      </w:pPr>
      <w:r>
        <w:t xml:space="preserve">All visits should be reviewed after the event, </w:t>
      </w:r>
      <w:proofErr w:type="gramStart"/>
      <w:r>
        <w:t xml:space="preserve">with </w:t>
      </w:r>
      <w:r w:rsidR="00863E8A">
        <w:t>regard</w:t>
      </w:r>
      <w:r>
        <w:t xml:space="preserve"> to</w:t>
      </w:r>
      <w:proofErr w:type="gramEnd"/>
      <w:r>
        <w:t xml:space="preserve"> any accidents, incidents or other significant occurrences during the visit, followed by any necessary review of procedures and/or risk assessments. </w:t>
      </w:r>
    </w:p>
    <w:p w14:paraId="028DCE4C" w14:textId="77777777" w:rsidR="00B31621" w:rsidRDefault="003B6206">
      <w:pPr>
        <w:spacing w:after="0" w:line="259" w:lineRule="auto"/>
        <w:ind w:left="0" w:right="0" w:firstLine="0"/>
        <w:jc w:val="left"/>
      </w:pPr>
      <w:r>
        <w:t xml:space="preserve"> </w:t>
      </w:r>
    </w:p>
    <w:p w14:paraId="152FF58E" w14:textId="77777777" w:rsidR="00B31621" w:rsidRDefault="003B6206">
      <w:pPr>
        <w:ind w:left="-5" w:right="9"/>
      </w:pPr>
      <w:r>
        <w:t xml:space="preserve">The Ofsted report "Learning Outside the Classroom – How Far Should You Go?" (October 2008) (available on the OEAP National Guidance website) makes statements in the strongest terms to support the value of Learning Outside the Classroom, including the fact that it raises achievement.  However, it also highlights the finding that Learning Outside the Classroom is rarely evaluated with sufficient rigour.  A methodology to address this is provided within the document “Rigorous Evaluation of </w:t>
      </w:r>
      <w:proofErr w:type="spellStart"/>
      <w:r>
        <w:t>LOtC</w:t>
      </w:r>
      <w:proofErr w:type="spellEnd"/>
      <w:r>
        <w:t xml:space="preserve">: Meeting Ofsted Expectations and Assuring Quality” in the OEAP National Guidance (see section 2 above). </w:t>
      </w:r>
    </w:p>
    <w:p w14:paraId="6BEC080D" w14:textId="77777777" w:rsidR="00B31621" w:rsidRDefault="003B6206">
      <w:pPr>
        <w:spacing w:after="0" w:line="259" w:lineRule="auto"/>
        <w:ind w:left="0" w:right="0" w:firstLine="0"/>
        <w:jc w:val="left"/>
      </w:pPr>
      <w:r>
        <w:t xml:space="preserve"> </w:t>
      </w:r>
    </w:p>
    <w:p w14:paraId="58FDC5CB" w14:textId="77777777" w:rsidR="00B31621" w:rsidRDefault="003B6206">
      <w:pPr>
        <w:pStyle w:val="Heading1"/>
        <w:ind w:left="-5"/>
      </w:pPr>
      <w:r>
        <w:t xml:space="preserve">9. Commissioning </w:t>
      </w:r>
    </w:p>
    <w:p w14:paraId="1A99EC51" w14:textId="5BA5965A" w:rsidR="00B31621" w:rsidRDefault="003B6206">
      <w:pPr>
        <w:ind w:left="-5" w:right="9"/>
      </w:pPr>
      <w:r>
        <w:t xml:space="preserve">If an organisation outside Kenton is commissioned to provide a service which may include Educational Visits, it must have policies and procedures in place which at least meet the same standards as described by this Policy. Kenton must satisfy themselves that this is the case. </w:t>
      </w:r>
    </w:p>
    <w:p w14:paraId="1E0BA4A9" w14:textId="77777777" w:rsidR="00B31621" w:rsidRDefault="003B6206">
      <w:pPr>
        <w:spacing w:after="0" w:line="259" w:lineRule="auto"/>
        <w:ind w:left="0" w:right="0" w:firstLine="0"/>
        <w:jc w:val="left"/>
      </w:pPr>
      <w:r>
        <w:rPr>
          <w:b/>
        </w:rPr>
        <w:t xml:space="preserve"> </w:t>
      </w:r>
    </w:p>
    <w:p w14:paraId="3FB8BAF1" w14:textId="77777777" w:rsidR="00B31621" w:rsidRDefault="003B6206">
      <w:pPr>
        <w:pStyle w:val="Heading1"/>
        <w:ind w:left="-5"/>
      </w:pPr>
      <w:r>
        <w:t xml:space="preserve">10. Role-specific responsibilities </w:t>
      </w:r>
    </w:p>
    <w:p w14:paraId="2CE87755" w14:textId="77777777" w:rsidR="00B31621" w:rsidRDefault="003B6206">
      <w:pPr>
        <w:ind w:left="-5" w:right="9"/>
      </w:pPr>
      <w:r>
        <w:t xml:space="preserve">OEAP National Guidance (see section 2 above), sets out the responsibilities and functions, regarding Educational Visits, of specific roles including: </w:t>
      </w:r>
    </w:p>
    <w:p w14:paraId="6D36D22A" w14:textId="77777777" w:rsidR="00B31621" w:rsidRDefault="003B6206">
      <w:pPr>
        <w:numPr>
          <w:ilvl w:val="0"/>
          <w:numId w:val="3"/>
        </w:numPr>
        <w:ind w:right="9" w:hanging="285"/>
      </w:pPr>
      <w:r>
        <w:t xml:space="preserve">Member of Board of Governors or Management Board </w:t>
      </w:r>
    </w:p>
    <w:p w14:paraId="6B2990BD" w14:textId="77777777" w:rsidR="00B31621" w:rsidRDefault="003B6206">
      <w:pPr>
        <w:numPr>
          <w:ilvl w:val="0"/>
          <w:numId w:val="3"/>
        </w:numPr>
        <w:ind w:right="9" w:hanging="285"/>
      </w:pPr>
      <w:r>
        <w:t xml:space="preserve">Principal </w:t>
      </w:r>
    </w:p>
    <w:p w14:paraId="34A289B0" w14:textId="74C9BB63" w:rsidR="00B31621" w:rsidRDefault="003B6206">
      <w:pPr>
        <w:numPr>
          <w:ilvl w:val="0"/>
          <w:numId w:val="3"/>
        </w:numPr>
        <w:ind w:right="9" w:hanging="285"/>
      </w:pPr>
      <w:r>
        <w:t>Educational Visits Co-ordinator which at Kenton is</w:t>
      </w:r>
      <w:r>
        <w:rPr>
          <w:b/>
        </w:rPr>
        <w:t xml:space="preserve"> </w:t>
      </w:r>
      <w:r w:rsidR="00863E8A">
        <w:t>Ian Grayson.</w:t>
      </w:r>
    </w:p>
    <w:p w14:paraId="5A88F57C" w14:textId="77777777" w:rsidR="00B31621" w:rsidRDefault="003B6206">
      <w:pPr>
        <w:spacing w:after="0" w:line="259" w:lineRule="auto"/>
        <w:ind w:left="0" w:right="0" w:firstLine="0"/>
        <w:jc w:val="left"/>
      </w:pPr>
      <w:r>
        <w:rPr>
          <w:b/>
        </w:rPr>
        <w:t xml:space="preserve"> </w:t>
      </w:r>
    </w:p>
    <w:p w14:paraId="533E7A00" w14:textId="2D9B7AC5" w:rsidR="00B31621" w:rsidRDefault="003B6206">
      <w:pPr>
        <w:pStyle w:val="Heading1"/>
        <w:ind w:left="-5"/>
      </w:pPr>
      <w:r>
        <w:t xml:space="preserve">11. </w:t>
      </w:r>
      <w:r w:rsidR="00863E8A">
        <w:t xml:space="preserve">EVC Coordinator </w:t>
      </w:r>
    </w:p>
    <w:p w14:paraId="1EDB37AE" w14:textId="10EE2D00" w:rsidR="00B31621" w:rsidRDefault="003B6206">
      <w:pPr>
        <w:ind w:left="-5" w:right="9"/>
      </w:pPr>
      <w:r>
        <w:t xml:space="preserve">The </w:t>
      </w:r>
      <w:r w:rsidR="00863E8A">
        <w:t xml:space="preserve">EVC </w:t>
      </w:r>
      <w:r>
        <w:t xml:space="preserve">must undertake an Educational Visits Co-ordinator training course and a refresher / revalidation course every three years, both of which are provided by Marcus Tinsley, the Educational Visits Co-ordinator. The course includes training on visit planning, risk assessment, leader competence and required procedures. </w:t>
      </w:r>
    </w:p>
    <w:p w14:paraId="5AF3D458" w14:textId="77777777" w:rsidR="00B31621" w:rsidRDefault="003B6206">
      <w:pPr>
        <w:spacing w:after="0" w:line="259" w:lineRule="auto"/>
        <w:ind w:left="0" w:right="0" w:firstLine="0"/>
        <w:jc w:val="left"/>
      </w:pPr>
      <w:r>
        <w:rPr>
          <w:b/>
        </w:rPr>
        <w:t xml:space="preserve"> </w:t>
      </w:r>
    </w:p>
    <w:p w14:paraId="68437CC4" w14:textId="544933F6" w:rsidR="00B31621" w:rsidRDefault="00B31621">
      <w:pPr>
        <w:spacing w:after="0" w:line="259" w:lineRule="auto"/>
        <w:ind w:left="0" w:right="0" w:firstLine="0"/>
        <w:jc w:val="left"/>
      </w:pPr>
    </w:p>
    <w:p w14:paraId="175B5763" w14:textId="26341D79" w:rsidR="00863E8A" w:rsidRDefault="00863E8A">
      <w:pPr>
        <w:spacing w:after="0" w:line="259" w:lineRule="auto"/>
        <w:ind w:left="0" w:right="0" w:firstLine="0"/>
        <w:jc w:val="left"/>
      </w:pPr>
    </w:p>
    <w:p w14:paraId="385B80C0" w14:textId="29671EC4" w:rsidR="00863E8A" w:rsidRDefault="00863E8A">
      <w:pPr>
        <w:spacing w:after="0" w:line="259" w:lineRule="auto"/>
        <w:ind w:left="0" w:right="0" w:firstLine="0"/>
        <w:jc w:val="left"/>
      </w:pPr>
    </w:p>
    <w:p w14:paraId="741416F2" w14:textId="41C148A3" w:rsidR="00863E8A" w:rsidRDefault="00863E8A">
      <w:pPr>
        <w:spacing w:after="0" w:line="259" w:lineRule="auto"/>
        <w:ind w:left="0" w:right="0" w:firstLine="0"/>
        <w:jc w:val="left"/>
      </w:pPr>
    </w:p>
    <w:p w14:paraId="2F0C5F78" w14:textId="08B758A9" w:rsidR="00863E8A" w:rsidRDefault="00863E8A">
      <w:pPr>
        <w:spacing w:after="0" w:line="259" w:lineRule="auto"/>
        <w:ind w:left="0" w:right="0" w:firstLine="0"/>
        <w:jc w:val="left"/>
      </w:pPr>
    </w:p>
    <w:p w14:paraId="7CD10B9B" w14:textId="7AB72CB2" w:rsidR="00863E8A" w:rsidRDefault="00863E8A">
      <w:pPr>
        <w:spacing w:after="0" w:line="259" w:lineRule="auto"/>
        <w:ind w:left="0" w:right="0" w:firstLine="0"/>
        <w:jc w:val="left"/>
      </w:pPr>
    </w:p>
    <w:p w14:paraId="603A9E60" w14:textId="77777777" w:rsidR="00863E8A" w:rsidRDefault="00863E8A">
      <w:pPr>
        <w:spacing w:after="0" w:line="259" w:lineRule="auto"/>
        <w:ind w:left="0" w:right="0" w:firstLine="0"/>
        <w:jc w:val="left"/>
      </w:pPr>
    </w:p>
    <w:p w14:paraId="001669D6" w14:textId="4FFDA0C1" w:rsidR="00B31621" w:rsidRDefault="003B6206">
      <w:pPr>
        <w:pStyle w:val="Heading1"/>
        <w:ind w:left="-5"/>
      </w:pPr>
      <w:r>
        <w:t>1</w:t>
      </w:r>
      <w:r w:rsidR="00863E8A">
        <w:t>2</w:t>
      </w:r>
      <w:r>
        <w:t xml:space="preserve">. Visit categories </w:t>
      </w:r>
    </w:p>
    <w:p w14:paraId="76E6E92A" w14:textId="77777777" w:rsidR="00B31621" w:rsidRDefault="003B6206">
      <w:pPr>
        <w:ind w:left="-5" w:right="9"/>
      </w:pPr>
      <w:r>
        <w:t xml:space="preserve"> For the purposes of EVAS notification and approval visits are grouped into three categories.  </w:t>
      </w:r>
    </w:p>
    <w:p w14:paraId="138BF9D5" w14:textId="77777777" w:rsidR="00B31621" w:rsidRDefault="003B6206">
      <w:pPr>
        <w:spacing w:after="0" w:line="259" w:lineRule="auto"/>
        <w:ind w:left="0" w:right="0" w:firstLine="0"/>
        <w:jc w:val="left"/>
      </w:pPr>
      <w:r>
        <w:rPr>
          <w:b/>
        </w:rPr>
        <w:t xml:space="preserve"> </w:t>
      </w:r>
    </w:p>
    <w:tbl>
      <w:tblPr>
        <w:tblStyle w:val="TableGrid"/>
        <w:tblW w:w="9793" w:type="dxa"/>
        <w:tblInd w:w="-293" w:type="dxa"/>
        <w:tblCellMar>
          <w:left w:w="113" w:type="dxa"/>
          <w:right w:w="46" w:type="dxa"/>
        </w:tblCellMar>
        <w:tblLook w:val="04A0" w:firstRow="1" w:lastRow="0" w:firstColumn="1" w:lastColumn="0" w:noHBand="0" w:noVBand="1"/>
      </w:tblPr>
      <w:tblGrid>
        <w:gridCol w:w="1277"/>
        <w:gridCol w:w="4971"/>
        <w:gridCol w:w="3545"/>
      </w:tblGrid>
      <w:tr w:rsidR="00B31621" w14:paraId="587BA735" w14:textId="77777777">
        <w:trPr>
          <w:trHeight w:val="555"/>
        </w:trPr>
        <w:tc>
          <w:tcPr>
            <w:tcW w:w="1277" w:type="dxa"/>
            <w:tcBorders>
              <w:top w:val="single" w:sz="6" w:space="0" w:color="000000"/>
              <w:left w:val="single" w:sz="6" w:space="0" w:color="000000"/>
              <w:bottom w:val="single" w:sz="6" w:space="0" w:color="000000"/>
              <w:right w:val="single" w:sz="6" w:space="0" w:color="000000"/>
            </w:tcBorders>
          </w:tcPr>
          <w:p w14:paraId="7BFC0E28" w14:textId="77777777" w:rsidR="00B31621" w:rsidRDefault="003B6206">
            <w:pPr>
              <w:spacing w:after="0" w:line="259" w:lineRule="auto"/>
              <w:ind w:left="0" w:right="0" w:firstLine="0"/>
            </w:pPr>
            <w:r>
              <w:rPr>
                <w:rFonts w:ascii="Arial" w:eastAsia="Arial" w:hAnsi="Arial" w:cs="Arial"/>
                <w:b/>
              </w:rPr>
              <w:lastRenderedPageBreak/>
              <w:t xml:space="preserve">Category </w:t>
            </w:r>
          </w:p>
        </w:tc>
        <w:tc>
          <w:tcPr>
            <w:tcW w:w="4971" w:type="dxa"/>
            <w:tcBorders>
              <w:top w:val="single" w:sz="6" w:space="0" w:color="000000"/>
              <w:left w:val="single" w:sz="6" w:space="0" w:color="000000"/>
              <w:bottom w:val="single" w:sz="6" w:space="0" w:color="000000"/>
              <w:right w:val="single" w:sz="6" w:space="0" w:color="000000"/>
            </w:tcBorders>
          </w:tcPr>
          <w:p w14:paraId="0FB81410" w14:textId="77777777" w:rsidR="00B31621" w:rsidRDefault="003B6206">
            <w:pPr>
              <w:spacing w:after="0" w:line="259" w:lineRule="auto"/>
              <w:ind w:left="0" w:right="0" w:firstLine="0"/>
              <w:jc w:val="left"/>
            </w:pPr>
            <w:r>
              <w:rPr>
                <w:rFonts w:ascii="Arial" w:eastAsia="Arial" w:hAnsi="Arial" w:cs="Arial"/>
                <w:b/>
              </w:rPr>
              <w:t xml:space="preserve">Definition </w:t>
            </w:r>
          </w:p>
        </w:tc>
        <w:tc>
          <w:tcPr>
            <w:tcW w:w="3545" w:type="dxa"/>
            <w:tcBorders>
              <w:top w:val="single" w:sz="6" w:space="0" w:color="000000"/>
              <w:left w:val="single" w:sz="6" w:space="0" w:color="000000"/>
              <w:bottom w:val="single" w:sz="6" w:space="0" w:color="000000"/>
              <w:right w:val="single" w:sz="6" w:space="0" w:color="000000"/>
            </w:tcBorders>
          </w:tcPr>
          <w:p w14:paraId="23E66349" w14:textId="77777777" w:rsidR="00B31621" w:rsidRDefault="003B6206">
            <w:pPr>
              <w:spacing w:after="0" w:line="259" w:lineRule="auto"/>
              <w:ind w:left="0" w:right="0" w:firstLine="0"/>
            </w:pPr>
            <w:r>
              <w:rPr>
                <w:rFonts w:ascii="Arial" w:eastAsia="Arial" w:hAnsi="Arial" w:cs="Arial"/>
                <w:b/>
              </w:rPr>
              <w:t xml:space="preserve">Requirement for Notification, Validation &amp; Approval </w:t>
            </w:r>
          </w:p>
        </w:tc>
      </w:tr>
      <w:tr w:rsidR="00B31621" w14:paraId="47C430C1" w14:textId="77777777">
        <w:trPr>
          <w:trHeight w:val="3738"/>
        </w:trPr>
        <w:tc>
          <w:tcPr>
            <w:tcW w:w="1277" w:type="dxa"/>
            <w:tcBorders>
              <w:top w:val="single" w:sz="6" w:space="0" w:color="000000"/>
              <w:left w:val="single" w:sz="6" w:space="0" w:color="000000"/>
              <w:bottom w:val="single" w:sz="6" w:space="0" w:color="000000"/>
              <w:right w:val="single" w:sz="6" w:space="0" w:color="000000"/>
            </w:tcBorders>
          </w:tcPr>
          <w:p w14:paraId="1ACA853B" w14:textId="77777777" w:rsidR="00B31621" w:rsidRDefault="003B6206">
            <w:pPr>
              <w:spacing w:after="0" w:line="259" w:lineRule="auto"/>
              <w:ind w:left="0" w:right="0" w:firstLine="0"/>
              <w:jc w:val="left"/>
            </w:pPr>
            <w:r>
              <w:rPr>
                <w:rFonts w:ascii="Arial" w:eastAsia="Arial" w:hAnsi="Arial" w:cs="Arial"/>
              </w:rPr>
              <w:t xml:space="preserve">1 </w:t>
            </w:r>
          </w:p>
        </w:tc>
        <w:tc>
          <w:tcPr>
            <w:tcW w:w="4971" w:type="dxa"/>
            <w:tcBorders>
              <w:top w:val="single" w:sz="6" w:space="0" w:color="000000"/>
              <w:left w:val="single" w:sz="6" w:space="0" w:color="000000"/>
              <w:bottom w:val="single" w:sz="6" w:space="0" w:color="000000"/>
              <w:right w:val="single" w:sz="6" w:space="0" w:color="000000"/>
            </w:tcBorders>
          </w:tcPr>
          <w:p w14:paraId="6665EE44" w14:textId="77777777" w:rsidR="00B31621" w:rsidRDefault="003B6206">
            <w:pPr>
              <w:spacing w:after="0" w:line="241" w:lineRule="auto"/>
              <w:ind w:left="0" w:right="627" w:firstLine="0"/>
              <w:jc w:val="left"/>
            </w:pPr>
            <w:r>
              <w:rPr>
                <w:rFonts w:ascii="Arial" w:eastAsia="Arial" w:hAnsi="Arial" w:cs="Arial"/>
              </w:rPr>
              <w:t xml:space="preserve">These are routine non-complex low risk visits.  </w:t>
            </w:r>
          </w:p>
          <w:p w14:paraId="6F728BA1" w14:textId="77777777" w:rsidR="00B31621" w:rsidRDefault="003B6206">
            <w:pPr>
              <w:spacing w:after="0"/>
              <w:ind w:left="0" w:right="0" w:firstLine="0"/>
            </w:pPr>
            <w:r>
              <w:rPr>
                <w:rFonts w:ascii="Arial" w:eastAsia="Arial" w:hAnsi="Arial" w:cs="Arial"/>
              </w:rPr>
              <w:t xml:space="preserve">Examples include visits to libraries, theatres, museums etc </w:t>
            </w:r>
          </w:p>
          <w:p w14:paraId="18639308" w14:textId="77777777" w:rsidR="00B31621" w:rsidRDefault="003B6206">
            <w:pPr>
              <w:spacing w:after="0" w:line="259" w:lineRule="auto"/>
              <w:ind w:left="0" w:right="0" w:firstLine="0"/>
              <w:jc w:val="left"/>
            </w:pPr>
            <w:r>
              <w:rPr>
                <w:rFonts w:ascii="Arial" w:eastAsia="Arial" w:hAnsi="Arial" w:cs="Arial"/>
              </w:rPr>
              <w:t xml:space="preserve"> </w:t>
            </w:r>
          </w:p>
          <w:p w14:paraId="3F0C50FB" w14:textId="77777777" w:rsidR="00B31621" w:rsidRDefault="003B6206">
            <w:pPr>
              <w:spacing w:after="4" w:line="259" w:lineRule="auto"/>
              <w:ind w:left="0" w:right="0" w:firstLine="0"/>
              <w:jc w:val="left"/>
            </w:pPr>
            <w:r>
              <w:rPr>
                <w:rFonts w:ascii="Arial" w:eastAsia="Arial" w:hAnsi="Arial" w:cs="Arial"/>
              </w:rPr>
              <w:t xml:space="preserve">They are covered by: </w:t>
            </w:r>
          </w:p>
          <w:p w14:paraId="568B7411" w14:textId="77777777" w:rsidR="00B31621" w:rsidRDefault="003B6206">
            <w:pPr>
              <w:numPr>
                <w:ilvl w:val="0"/>
                <w:numId w:val="8"/>
              </w:numPr>
              <w:spacing w:after="0" w:line="259" w:lineRule="auto"/>
              <w:ind w:right="128" w:hanging="285"/>
              <w:jc w:val="left"/>
            </w:pPr>
            <w:r>
              <w:rPr>
                <w:rFonts w:ascii="Arial" w:eastAsia="Arial" w:hAnsi="Arial" w:cs="Arial"/>
              </w:rPr>
              <w:t xml:space="preserve">Generic Risk Assessment </w:t>
            </w:r>
          </w:p>
          <w:p w14:paraId="3EF08392" w14:textId="77777777" w:rsidR="00B31621" w:rsidRDefault="003B6206">
            <w:pPr>
              <w:numPr>
                <w:ilvl w:val="0"/>
                <w:numId w:val="8"/>
              </w:numPr>
              <w:spacing w:after="25" w:line="240" w:lineRule="auto"/>
              <w:ind w:right="128" w:hanging="285"/>
              <w:jc w:val="left"/>
            </w:pPr>
            <w:r>
              <w:rPr>
                <w:rFonts w:ascii="Arial" w:eastAsia="Arial" w:hAnsi="Arial" w:cs="Arial"/>
              </w:rPr>
              <w:t xml:space="preserve">School’s local Educational Visits Policy &amp; procedures, (including blanket approval by Head Teacher for these visits).  </w:t>
            </w:r>
          </w:p>
          <w:p w14:paraId="2BF45840" w14:textId="77777777" w:rsidR="00B31621" w:rsidRDefault="003B6206">
            <w:pPr>
              <w:numPr>
                <w:ilvl w:val="0"/>
                <w:numId w:val="8"/>
              </w:numPr>
              <w:spacing w:after="0" w:line="259" w:lineRule="auto"/>
              <w:ind w:right="128" w:hanging="285"/>
              <w:jc w:val="left"/>
            </w:pPr>
            <w:r>
              <w:rPr>
                <w:rFonts w:ascii="Arial" w:eastAsia="Arial" w:hAnsi="Arial" w:cs="Arial"/>
              </w:rPr>
              <w:t xml:space="preserve">Blanket informed parent/carer consent </w:t>
            </w:r>
          </w:p>
        </w:tc>
        <w:tc>
          <w:tcPr>
            <w:tcW w:w="3545" w:type="dxa"/>
            <w:tcBorders>
              <w:top w:val="single" w:sz="6" w:space="0" w:color="000000"/>
              <w:left w:val="single" w:sz="6" w:space="0" w:color="000000"/>
              <w:bottom w:val="single" w:sz="6" w:space="0" w:color="000000"/>
              <w:right w:val="single" w:sz="6" w:space="0" w:color="000000"/>
            </w:tcBorders>
          </w:tcPr>
          <w:p w14:paraId="57EA4B6B" w14:textId="77777777" w:rsidR="00B31621" w:rsidRDefault="003B6206">
            <w:pPr>
              <w:spacing w:after="0" w:line="241" w:lineRule="auto"/>
              <w:ind w:left="0" w:right="174" w:firstLine="0"/>
            </w:pPr>
            <w:r>
              <w:rPr>
                <w:rFonts w:ascii="Arial" w:eastAsia="Arial" w:hAnsi="Arial" w:cs="Arial"/>
              </w:rPr>
              <w:t xml:space="preserve">Blanket approval for visits in this category is normally provided by the Head Teacher in the school’s Educational Visits Policy. </w:t>
            </w:r>
          </w:p>
          <w:p w14:paraId="525C1C3D" w14:textId="77777777" w:rsidR="00B31621" w:rsidRDefault="003B6206">
            <w:pPr>
              <w:spacing w:after="216" w:line="259" w:lineRule="auto"/>
              <w:ind w:left="0" w:right="0" w:firstLine="0"/>
              <w:jc w:val="left"/>
            </w:pPr>
            <w:r>
              <w:rPr>
                <w:rFonts w:ascii="Arial" w:eastAsia="Arial" w:hAnsi="Arial" w:cs="Arial"/>
                <w:sz w:val="23"/>
              </w:rPr>
              <w:t xml:space="preserve"> </w:t>
            </w:r>
          </w:p>
          <w:p w14:paraId="32B43E3B" w14:textId="77777777" w:rsidR="00B31621" w:rsidRDefault="003B6206">
            <w:pPr>
              <w:spacing w:after="0" w:line="259" w:lineRule="auto"/>
              <w:ind w:left="0" w:right="0" w:firstLine="0"/>
            </w:pPr>
            <w:r>
              <w:rPr>
                <w:rFonts w:ascii="Arial" w:eastAsia="Arial" w:hAnsi="Arial" w:cs="Arial"/>
                <w:sz w:val="23"/>
              </w:rPr>
              <w:t xml:space="preserve">Recommended that EVOLVE be used to record documents.  </w:t>
            </w:r>
          </w:p>
        </w:tc>
      </w:tr>
      <w:tr w:rsidR="00B31621" w14:paraId="42B6CB1C" w14:textId="77777777">
        <w:trPr>
          <w:trHeight w:val="3889"/>
        </w:trPr>
        <w:tc>
          <w:tcPr>
            <w:tcW w:w="1277" w:type="dxa"/>
            <w:tcBorders>
              <w:top w:val="single" w:sz="6" w:space="0" w:color="000000"/>
              <w:left w:val="single" w:sz="6" w:space="0" w:color="000000"/>
              <w:bottom w:val="single" w:sz="6" w:space="0" w:color="000000"/>
              <w:right w:val="single" w:sz="6" w:space="0" w:color="000000"/>
            </w:tcBorders>
          </w:tcPr>
          <w:p w14:paraId="4C8F355A" w14:textId="77777777" w:rsidR="00B31621" w:rsidRDefault="003B6206">
            <w:pPr>
              <w:spacing w:after="0" w:line="259" w:lineRule="auto"/>
              <w:ind w:left="0" w:right="0" w:firstLine="0"/>
              <w:jc w:val="left"/>
            </w:pPr>
            <w:r>
              <w:rPr>
                <w:rFonts w:ascii="Arial" w:eastAsia="Arial" w:hAnsi="Arial" w:cs="Arial"/>
              </w:rPr>
              <w:t xml:space="preserve">2 </w:t>
            </w:r>
          </w:p>
        </w:tc>
        <w:tc>
          <w:tcPr>
            <w:tcW w:w="4971" w:type="dxa"/>
            <w:tcBorders>
              <w:top w:val="single" w:sz="6" w:space="0" w:color="000000"/>
              <w:left w:val="single" w:sz="6" w:space="0" w:color="000000"/>
              <w:bottom w:val="single" w:sz="6" w:space="0" w:color="000000"/>
              <w:right w:val="single" w:sz="6" w:space="0" w:color="000000"/>
            </w:tcBorders>
          </w:tcPr>
          <w:p w14:paraId="2CFEA459" w14:textId="77777777" w:rsidR="00B31621" w:rsidRDefault="003B6206">
            <w:pPr>
              <w:spacing w:after="0"/>
              <w:ind w:left="0" w:right="0" w:firstLine="0"/>
              <w:jc w:val="left"/>
            </w:pPr>
            <w:r>
              <w:rPr>
                <w:rFonts w:ascii="Arial" w:eastAsia="Arial" w:hAnsi="Arial" w:cs="Arial"/>
              </w:rPr>
              <w:t xml:space="preserve">Visits which require enhanced planning, due to the presence of a specific risk/s. </w:t>
            </w:r>
          </w:p>
          <w:p w14:paraId="3FF3BE54" w14:textId="77777777" w:rsidR="00B31621" w:rsidRDefault="003B6206">
            <w:pPr>
              <w:spacing w:after="0" w:line="259" w:lineRule="auto"/>
              <w:ind w:left="0" w:right="0" w:firstLine="0"/>
              <w:jc w:val="left"/>
            </w:pPr>
            <w:r>
              <w:rPr>
                <w:rFonts w:ascii="Arial" w:eastAsia="Arial" w:hAnsi="Arial" w:cs="Arial"/>
              </w:rPr>
              <w:t xml:space="preserve"> </w:t>
            </w:r>
          </w:p>
          <w:p w14:paraId="04D967BF" w14:textId="77777777" w:rsidR="00B31621" w:rsidRDefault="003B6206">
            <w:pPr>
              <w:spacing w:after="4" w:line="259" w:lineRule="auto"/>
              <w:ind w:left="0" w:right="0" w:firstLine="0"/>
              <w:jc w:val="left"/>
            </w:pPr>
            <w:r>
              <w:rPr>
                <w:rFonts w:ascii="Arial" w:eastAsia="Arial" w:hAnsi="Arial" w:cs="Arial"/>
              </w:rPr>
              <w:t xml:space="preserve">These visits include: </w:t>
            </w:r>
          </w:p>
          <w:p w14:paraId="236DCBF3" w14:textId="77777777" w:rsidR="00B31621" w:rsidRDefault="003B6206">
            <w:pPr>
              <w:numPr>
                <w:ilvl w:val="0"/>
                <w:numId w:val="9"/>
              </w:numPr>
              <w:spacing w:after="0" w:line="259" w:lineRule="auto"/>
              <w:ind w:right="166" w:firstLine="90"/>
              <w:jc w:val="center"/>
            </w:pPr>
            <w:r>
              <w:rPr>
                <w:rFonts w:ascii="Arial" w:eastAsia="Arial" w:hAnsi="Arial" w:cs="Arial"/>
              </w:rPr>
              <w:t xml:space="preserve">All residential visits not in Category 3. </w:t>
            </w:r>
          </w:p>
          <w:p w14:paraId="463600A5" w14:textId="77777777" w:rsidR="00B31621" w:rsidRDefault="003B6206">
            <w:pPr>
              <w:numPr>
                <w:ilvl w:val="0"/>
                <w:numId w:val="9"/>
              </w:numPr>
              <w:spacing w:after="8" w:line="243" w:lineRule="auto"/>
              <w:ind w:right="166" w:firstLine="90"/>
              <w:jc w:val="center"/>
            </w:pPr>
            <w:r>
              <w:rPr>
                <w:rFonts w:ascii="Arial" w:eastAsia="Arial" w:hAnsi="Arial" w:cs="Arial"/>
              </w:rPr>
              <w:t xml:space="preserve">All other non-residential visits not in categories 1 or 3 They require: </w:t>
            </w:r>
          </w:p>
          <w:p w14:paraId="20C38BD7" w14:textId="77777777" w:rsidR="00B31621" w:rsidRDefault="003B6206">
            <w:pPr>
              <w:numPr>
                <w:ilvl w:val="0"/>
                <w:numId w:val="9"/>
              </w:numPr>
              <w:spacing w:after="0" w:line="259" w:lineRule="auto"/>
              <w:ind w:right="166" w:firstLine="90"/>
              <w:jc w:val="center"/>
            </w:pPr>
            <w:r>
              <w:rPr>
                <w:rFonts w:ascii="Arial" w:eastAsia="Arial" w:hAnsi="Arial" w:cs="Arial"/>
              </w:rPr>
              <w:t xml:space="preserve">A risk specific assessment, including: </w:t>
            </w:r>
          </w:p>
          <w:p w14:paraId="08D87F0A" w14:textId="77777777" w:rsidR="00B31621" w:rsidRDefault="003B6206">
            <w:pPr>
              <w:numPr>
                <w:ilvl w:val="0"/>
                <w:numId w:val="9"/>
              </w:numPr>
              <w:spacing w:after="0" w:line="249" w:lineRule="auto"/>
              <w:ind w:right="166" w:firstLine="90"/>
              <w:jc w:val="center"/>
            </w:pPr>
            <w:r>
              <w:rPr>
                <w:rFonts w:ascii="Arial" w:eastAsia="Arial" w:hAnsi="Arial" w:cs="Arial"/>
              </w:rPr>
              <w:t xml:space="preserve">Visit specific informed parental consent. </w:t>
            </w:r>
            <w:r>
              <w:rPr>
                <w:rFonts w:ascii="Segoe UI Symbol" w:eastAsia="Segoe UI Symbol" w:hAnsi="Segoe UI Symbol" w:cs="Segoe UI Symbol"/>
              </w:rPr>
              <w:t></w:t>
            </w:r>
            <w:r>
              <w:rPr>
                <w:rFonts w:ascii="Arial" w:eastAsia="Arial" w:hAnsi="Arial" w:cs="Arial"/>
              </w:rPr>
              <w:t xml:space="preserve"> School’s local policy &amp; procedures to be followed. </w:t>
            </w:r>
          </w:p>
          <w:p w14:paraId="748E647E" w14:textId="77777777" w:rsidR="00B31621" w:rsidRDefault="003B6206">
            <w:pPr>
              <w:spacing w:after="0" w:line="259" w:lineRule="auto"/>
              <w:ind w:left="0" w:right="0" w:firstLine="0"/>
              <w:jc w:val="left"/>
            </w:pPr>
            <w:r>
              <w:rPr>
                <w:rFonts w:ascii="Arial" w:eastAsia="Arial" w:hAnsi="Arial" w:cs="Arial"/>
                <w:sz w:val="23"/>
              </w:rPr>
              <w:t xml:space="preserve"> </w:t>
            </w:r>
          </w:p>
        </w:tc>
        <w:tc>
          <w:tcPr>
            <w:tcW w:w="3545" w:type="dxa"/>
            <w:tcBorders>
              <w:top w:val="single" w:sz="6" w:space="0" w:color="000000"/>
              <w:left w:val="single" w:sz="6" w:space="0" w:color="000000"/>
              <w:bottom w:val="single" w:sz="6" w:space="0" w:color="000000"/>
              <w:right w:val="single" w:sz="6" w:space="0" w:color="000000"/>
            </w:tcBorders>
          </w:tcPr>
          <w:p w14:paraId="15B22904" w14:textId="77777777" w:rsidR="00B31621" w:rsidRDefault="003B6206">
            <w:pPr>
              <w:spacing w:after="0"/>
              <w:ind w:left="0" w:right="0" w:firstLine="0"/>
              <w:jc w:val="left"/>
            </w:pPr>
            <w:r>
              <w:rPr>
                <w:rFonts w:ascii="Arial" w:eastAsia="Arial" w:hAnsi="Arial" w:cs="Arial"/>
              </w:rPr>
              <w:t xml:space="preserve">Must be approved by Head Teacher.  </w:t>
            </w:r>
          </w:p>
          <w:p w14:paraId="6EDC4003" w14:textId="77777777" w:rsidR="00B31621" w:rsidRDefault="003B6206">
            <w:pPr>
              <w:spacing w:after="0" w:line="259" w:lineRule="auto"/>
              <w:ind w:left="0" w:right="0" w:firstLine="0"/>
              <w:jc w:val="left"/>
            </w:pPr>
            <w:r>
              <w:rPr>
                <w:rFonts w:ascii="Arial" w:eastAsia="Arial" w:hAnsi="Arial" w:cs="Arial"/>
              </w:rPr>
              <w:t xml:space="preserve"> </w:t>
            </w:r>
          </w:p>
          <w:p w14:paraId="1290B0D3" w14:textId="77777777" w:rsidR="00B31621" w:rsidRDefault="003B6206">
            <w:pPr>
              <w:spacing w:after="0" w:line="244" w:lineRule="auto"/>
              <w:ind w:left="0" w:right="275" w:firstLine="0"/>
            </w:pPr>
            <w:r>
              <w:rPr>
                <w:rFonts w:ascii="Arial" w:eastAsia="Arial" w:hAnsi="Arial" w:cs="Arial"/>
              </w:rPr>
              <w:t xml:space="preserve">EVOLVE must be used for all visits in category 2, to record documents and provide an auditable trail. </w:t>
            </w:r>
          </w:p>
          <w:p w14:paraId="53DC3A56" w14:textId="77777777" w:rsidR="00B31621" w:rsidRDefault="003B6206">
            <w:pPr>
              <w:spacing w:after="0" w:line="259" w:lineRule="auto"/>
              <w:ind w:left="0" w:right="0" w:firstLine="0"/>
              <w:jc w:val="left"/>
            </w:pPr>
            <w:r>
              <w:rPr>
                <w:rFonts w:ascii="Arial" w:eastAsia="Arial" w:hAnsi="Arial" w:cs="Arial"/>
              </w:rPr>
              <w:t xml:space="preserve">  </w:t>
            </w:r>
          </w:p>
        </w:tc>
      </w:tr>
      <w:tr w:rsidR="00B31621" w14:paraId="3170A216" w14:textId="77777777">
        <w:trPr>
          <w:trHeight w:val="3603"/>
        </w:trPr>
        <w:tc>
          <w:tcPr>
            <w:tcW w:w="1277" w:type="dxa"/>
            <w:tcBorders>
              <w:top w:val="single" w:sz="6" w:space="0" w:color="000000"/>
              <w:left w:val="single" w:sz="6" w:space="0" w:color="000000"/>
              <w:bottom w:val="single" w:sz="6" w:space="0" w:color="000000"/>
              <w:right w:val="single" w:sz="6" w:space="0" w:color="000000"/>
            </w:tcBorders>
          </w:tcPr>
          <w:p w14:paraId="799AD127" w14:textId="77777777" w:rsidR="00B31621" w:rsidRDefault="003B6206">
            <w:pPr>
              <w:spacing w:after="0" w:line="259" w:lineRule="auto"/>
              <w:ind w:left="0" w:right="0" w:firstLine="0"/>
              <w:jc w:val="left"/>
            </w:pPr>
            <w:r>
              <w:rPr>
                <w:rFonts w:ascii="Arial" w:eastAsia="Arial" w:hAnsi="Arial" w:cs="Arial"/>
              </w:rPr>
              <w:t xml:space="preserve">3 </w:t>
            </w:r>
          </w:p>
        </w:tc>
        <w:tc>
          <w:tcPr>
            <w:tcW w:w="4971" w:type="dxa"/>
            <w:tcBorders>
              <w:top w:val="single" w:sz="6" w:space="0" w:color="000000"/>
              <w:left w:val="single" w:sz="6" w:space="0" w:color="000000"/>
              <w:bottom w:val="single" w:sz="6" w:space="0" w:color="000000"/>
              <w:right w:val="single" w:sz="6" w:space="0" w:color="000000"/>
            </w:tcBorders>
          </w:tcPr>
          <w:p w14:paraId="4356B928" w14:textId="77777777" w:rsidR="00B31621" w:rsidRDefault="003B6206">
            <w:pPr>
              <w:spacing w:after="0" w:line="259" w:lineRule="auto"/>
              <w:ind w:left="0" w:right="0" w:firstLine="0"/>
              <w:jc w:val="left"/>
            </w:pPr>
            <w:r>
              <w:rPr>
                <w:rFonts w:ascii="Arial" w:eastAsia="Arial" w:hAnsi="Arial" w:cs="Arial"/>
              </w:rPr>
              <w:t xml:space="preserve">Higher risk visits defined as: </w:t>
            </w:r>
          </w:p>
          <w:p w14:paraId="710A1443" w14:textId="77777777" w:rsidR="00B31621" w:rsidRDefault="003B6206">
            <w:pPr>
              <w:numPr>
                <w:ilvl w:val="0"/>
                <w:numId w:val="10"/>
              </w:numPr>
              <w:spacing w:after="0" w:line="259" w:lineRule="auto"/>
              <w:ind w:right="0" w:hanging="285"/>
              <w:jc w:val="left"/>
            </w:pPr>
            <w:r>
              <w:rPr>
                <w:rFonts w:ascii="Arial" w:eastAsia="Arial" w:hAnsi="Arial" w:cs="Arial"/>
              </w:rPr>
              <w:t xml:space="preserve">Visits outside the UK </w:t>
            </w:r>
          </w:p>
          <w:p w14:paraId="2AB83B4A" w14:textId="77777777" w:rsidR="00B31621" w:rsidRDefault="003B6206">
            <w:pPr>
              <w:numPr>
                <w:ilvl w:val="0"/>
                <w:numId w:val="10"/>
              </w:numPr>
              <w:spacing w:after="28" w:line="237" w:lineRule="auto"/>
              <w:ind w:right="0" w:hanging="285"/>
              <w:jc w:val="left"/>
            </w:pPr>
            <w:r>
              <w:rPr>
                <w:rFonts w:ascii="Arial" w:eastAsia="Arial" w:hAnsi="Arial" w:cs="Arial"/>
              </w:rPr>
              <w:t xml:space="preserve">Visits which include adventure activities (see section 13). </w:t>
            </w:r>
          </w:p>
          <w:p w14:paraId="78C73D8D" w14:textId="77777777" w:rsidR="00B31621" w:rsidRDefault="003B6206">
            <w:pPr>
              <w:numPr>
                <w:ilvl w:val="0"/>
                <w:numId w:val="10"/>
              </w:numPr>
              <w:spacing w:after="0" w:line="259" w:lineRule="auto"/>
              <w:ind w:right="0" w:hanging="285"/>
              <w:jc w:val="left"/>
            </w:pPr>
            <w:r>
              <w:rPr>
                <w:rFonts w:ascii="Arial" w:eastAsia="Arial" w:hAnsi="Arial" w:cs="Arial"/>
              </w:rPr>
              <w:t xml:space="preserve">Visits to remote or hazardous locations </w:t>
            </w:r>
          </w:p>
        </w:tc>
        <w:tc>
          <w:tcPr>
            <w:tcW w:w="3545" w:type="dxa"/>
            <w:tcBorders>
              <w:top w:val="single" w:sz="6" w:space="0" w:color="000000"/>
              <w:left w:val="single" w:sz="6" w:space="0" w:color="000000"/>
              <w:bottom w:val="single" w:sz="6" w:space="0" w:color="000000"/>
              <w:right w:val="single" w:sz="6" w:space="0" w:color="000000"/>
            </w:tcBorders>
          </w:tcPr>
          <w:p w14:paraId="0E9148DB" w14:textId="77777777" w:rsidR="00B31621" w:rsidRDefault="003B6206">
            <w:pPr>
              <w:spacing w:after="10" w:line="239" w:lineRule="auto"/>
              <w:ind w:left="0" w:right="126" w:firstLine="0"/>
            </w:pPr>
            <w:r>
              <w:rPr>
                <w:rFonts w:ascii="Arial" w:eastAsia="Arial" w:hAnsi="Arial" w:cs="Arial"/>
                <w:b/>
              </w:rPr>
              <w:t>Head Teacher must authorise the visit in Evolve a</w:t>
            </w:r>
            <w:r>
              <w:rPr>
                <w:rFonts w:ascii="Arial" w:eastAsia="Arial" w:hAnsi="Arial" w:cs="Arial"/>
              </w:rPr>
              <w:t xml:space="preserve"> </w:t>
            </w:r>
            <w:r>
              <w:rPr>
                <w:rFonts w:ascii="Arial" w:eastAsia="Arial" w:hAnsi="Arial" w:cs="Arial"/>
                <w:b/>
              </w:rPr>
              <w:t xml:space="preserve">minimum of 4 weeks before the visit.  </w:t>
            </w:r>
          </w:p>
          <w:p w14:paraId="76A4AC22" w14:textId="77777777" w:rsidR="00B31621" w:rsidRDefault="003B6206">
            <w:pPr>
              <w:spacing w:after="0" w:line="235" w:lineRule="auto"/>
              <w:ind w:left="0" w:right="0" w:firstLine="0"/>
            </w:pPr>
            <w:r>
              <w:rPr>
                <w:rFonts w:ascii="Arial" w:eastAsia="Arial" w:hAnsi="Arial" w:cs="Arial"/>
                <w:b/>
              </w:rPr>
              <w:t xml:space="preserve">EVAS will receive automatic notification of the visit.  </w:t>
            </w:r>
          </w:p>
          <w:p w14:paraId="266C857F" w14:textId="77777777" w:rsidR="00B31621" w:rsidRDefault="003B6206">
            <w:pPr>
              <w:spacing w:after="3" w:line="259" w:lineRule="auto"/>
              <w:ind w:left="0" w:right="0" w:firstLine="0"/>
              <w:jc w:val="left"/>
            </w:pPr>
            <w:r>
              <w:rPr>
                <w:rFonts w:ascii="Arial" w:eastAsia="Arial" w:hAnsi="Arial" w:cs="Arial"/>
                <w:b/>
              </w:rPr>
              <w:t xml:space="preserve"> </w:t>
            </w:r>
          </w:p>
          <w:p w14:paraId="2C4A1767" w14:textId="77777777" w:rsidR="00B31621" w:rsidRDefault="003B6206">
            <w:pPr>
              <w:spacing w:after="0" w:line="259" w:lineRule="auto"/>
              <w:ind w:left="0" w:right="394" w:firstLine="0"/>
            </w:pPr>
            <w:r>
              <w:rPr>
                <w:rFonts w:ascii="Arial" w:eastAsia="Arial" w:hAnsi="Arial" w:cs="Arial"/>
              </w:rPr>
              <w:t xml:space="preserve">EVAS will validate the arrangements once the assessment and planning processes have been scrutinised and any queries addressed.  </w:t>
            </w:r>
          </w:p>
        </w:tc>
      </w:tr>
    </w:tbl>
    <w:p w14:paraId="4906ED66" w14:textId="77777777" w:rsidR="00B31621" w:rsidRDefault="003B6206">
      <w:pPr>
        <w:spacing w:after="0" w:line="259" w:lineRule="auto"/>
        <w:ind w:left="0" w:right="0" w:firstLine="0"/>
        <w:jc w:val="left"/>
      </w:pPr>
      <w:r>
        <w:rPr>
          <w:b/>
        </w:rPr>
        <w:t xml:space="preserve"> </w:t>
      </w:r>
    </w:p>
    <w:p w14:paraId="29CE3FDE" w14:textId="77777777" w:rsidR="00B31621" w:rsidRDefault="003B6206">
      <w:pPr>
        <w:spacing w:after="8" w:line="240" w:lineRule="auto"/>
        <w:ind w:left="0" w:right="0" w:firstLine="0"/>
        <w:jc w:val="left"/>
      </w:pPr>
      <w:r>
        <w:t xml:space="preserve">Category 3 visits must be authorised in EVOLVE by the Principal and notified to EVAS at least four weeks prior to the visit.  This is to provide time for any issues identified to be addressed by the school prior to validation being given by EVAS.   </w:t>
      </w:r>
    </w:p>
    <w:p w14:paraId="6874EB02" w14:textId="77777777" w:rsidR="00B31621" w:rsidRDefault="003B6206">
      <w:pPr>
        <w:spacing w:after="0" w:line="259" w:lineRule="auto"/>
        <w:ind w:left="0" w:right="0" w:firstLine="0"/>
        <w:jc w:val="left"/>
      </w:pPr>
      <w:r>
        <w:rPr>
          <w:b/>
        </w:rPr>
        <w:lastRenderedPageBreak/>
        <w:t xml:space="preserve"> </w:t>
      </w:r>
    </w:p>
    <w:p w14:paraId="686890E1" w14:textId="77777777" w:rsidR="00B31621" w:rsidRDefault="003B6206">
      <w:pPr>
        <w:spacing w:after="0" w:line="259" w:lineRule="auto"/>
        <w:ind w:left="0" w:right="0" w:firstLine="0"/>
        <w:jc w:val="left"/>
      </w:pPr>
      <w:r>
        <w:rPr>
          <w:b/>
        </w:rPr>
        <w:t xml:space="preserve"> </w:t>
      </w:r>
    </w:p>
    <w:p w14:paraId="0E8AE9D3" w14:textId="1B4592FF" w:rsidR="00B31621" w:rsidRDefault="003B6206">
      <w:pPr>
        <w:pStyle w:val="Heading1"/>
        <w:ind w:left="-5"/>
      </w:pPr>
      <w:r>
        <w:t>1</w:t>
      </w:r>
      <w:r w:rsidR="00863E8A">
        <w:t>3</w:t>
      </w:r>
      <w:r>
        <w:t xml:space="preserve">. Adventure activities </w:t>
      </w:r>
    </w:p>
    <w:p w14:paraId="0238EE37" w14:textId="77777777" w:rsidR="00B31621" w:rsidRDefault="003B6206">
      <w:pPr>
        <w:ind w:left="406" w:right="4454" w:hanging="421"/>
      </w:pPr>
      <w:r>
        <w:t xml:space="preserve">Adventure activities are defined as including: </w:t>
      </w:r>
      <w:r>
        <w:rPr>
          <w:rFonts w:ascii="Segoe UI Symbol" w:eastAsia="Segoe UI Symbol" w:hAnsi="Segoe UI Symbol" w:cs="Segoe UI Symbol"/>
        </w:rPr>
        <w:t></w:t>
      </w:r>
      <w:r>
        <w:rPr>
          <w:rFonts w:ascii="Arial" w:eastAsia="Arial" w:hAnsi="Arial" w:cs="Arial"/>
        </w:rPr>
        <w:t xml:space="preserve"> </w:t>
      </w:r>
      <w:r>
        <w:t xml:space="preserve">Abseiling </w:t>
      </w:r>
    </w:p>
    <w:p w14:paraId="5D176E0C" w14:textId="77777777" w:rsidR="00B31621" w:rsidRDefault="003B6206">
      <w:pPr>
        <w:numPr>
          <w:ilvl w:val="0"/>
          <w:numId w:val="5"/>
        </w:numPr>
        <w:ind w:left="781" w:right="9" w:hanging="360"/>
      </w:pPr>
      <w:r>
        <w:t xml:space="preserve">Air activities (excluding commercial flights) </w:t>
      </w:r>
    </w:p>
    <w:p w14:paraId="66E5B9CC" w14:textId="77777777" w:rsidR="00B31621" w:rsidRDefault="003B6206">
      <w:pPr>
        <w:numPr>
          <w:ilvl w:val="0"/>
          <w:numId w:val="5"/>
        </w:numPr>
        <w:ind w:left="781" w:right="9" w:hanging="360"/>
      </w:pPr>
      <w:r>
        <w:t xml:space="preserve">Camping (except 'official' campsites) </w:t>
      </w:r>
    </w:p>
    <w:p w14:paraId="1615A61F" w14:textId="77777777" w:rsidR="00B31621" w:rsidRDefault="003B6206">
      <w:pPr>
        <w:numPr>
          <w:ilvl w:val="0"/>
          <w:numId w:val="5"/>
        </w:numPr>
        <w:ind w:left="781" w:right="9" w:hanging="360"/>
      </w:pPr>
      <w:r>
        <w:t xml:space="preserve">Caving, potholing, mine exploration </w:t>
      </w:r>
    </w:p>
    <w:p w14:paraId="5792B306" w14:textId="77777777" w:rsidR="00B31621" w:rsidRDefault="003B6206">
      <w:pPr>
        <w:numPr>
          <w:ilvl w:val="0"/>
          <w:numId w:val="5"/>
        </w:numPr>
        <w:ind w:left="781" w:right="9" w:hanging="360"/>
      </w:pPr>
      <w:r>
        <w:t xml:space="preserve">Climbing (including indoor climbing walls) </w:t>
      </w:r>
    </w:p>
    <w:p w14:paraId="31EADD20" w14:textId="77777777" w:rsidR="00B31621" w:rsidRDefault="003B6206">
      <w:pPr>
        <w:numPr>
          <w:ilvl w:val="0"/>
          <w:numId w:val="5"/>
        </w:numPr>
        <w:ind w:left="781" w:right="9" w:hanging="360"/>
      </w:pPr>
      <w:r>
        <w:t xml:space="preserve">Coasteering, coastal scrambling, sea-level traversing </w:t>
      </w:r>
    </w:p>
    <w:p w14:paraId="1A31D657" w14:textId="77777777" w:rsidR="00B31621" w:rsidRDefault="003B6206">
      <w:pPr>
        <w:numPr>
          <w:ilvl w:val="0"/>
          <w:numId w:val="5"/>
        </w:numPr>
        <w:ind w:left="781" w:right="9" w:hanging="360"/>
      </w:pPr>
      <w:r>
        <w:t>Fishing in hazardous environments (</w:t>
      </w:r>
      <w:proofErr w:type="gramStart"/>
      <w:r>
        <w:t>e.g.</w:t>
      </w:r>
      <w:proofErr w:type="gramEnd"/>
      <w:r>
        <w:t xml:space="preserve"> sea, fast rivers, on deep water) </w:t>
      </w:r>
    </w:p>
    <w:p w14:paraId="04F8868D" w14:textId="77777777" w:rsidR="00B31621" w:rsidRDefault="003B6206">
      <w:pPr>
        <w:numPr>
          <w:ilvl w:val="0"/>
          <w:numId w:val="5"/>
        </w:numPr>
        <w:ind w:left="781" w:right="9" w:hanging="360"/>
      </w:pPr>
      <w:r>
        <w:t xml:space="preserve">High level rope activities </w:t>
      </w:r>
    </w:p>
    <w:p w14:paraId="4D4E7283" w14:textId="77777777" w:rsidR="00B31621" w:rsidRDefault="003B6206">
      <w:pPr>
        <w:numPr>
          <w:ilvl w:val="0"/>
          <w:numId w:val="5"/>
        </w:numPr>
        <w:ind w:left="781" w:right="9" w:hanging="360"/>
      </w:pPr>
      <w:r>
        <w:t xml:space="preserve">Horse riding &amp; equestrian sports </w:t>
      </w:r>
    </w:p>
    <w:p w14:paraId="558BFAA2" w14:textId="77777777" w:rsidR="00B31621" w:rsidRDefault="003B6206">
      <w:pPr>
        <w:numPr>
          <w:ilvl w:val="0"/>
          <w:numId w:val="5"/>
        </w:numPr>
        <w:ind w:left="781" w:right="9" w:hanging="360"/>
      </w:pPr>
      <w:r>
        <w:t xml:space="preserve">Motor sport – all forms </w:t>
      </w:r>
    </w:p>
    <w:p w14:paraId="761AFA08" w14:textId="77777777" w:rsidR="00B31621" w:rsidRDefault="003B6206">
      <w:pPr>
        <w:numPr>
          <w:ilvl w:val="0"/>
          <w:numId w:val="5"/>
        </w:numPr>
        <w:ind w:left="781" w:right="9" w:hanging="360"/>
      </w:pPr>
      <w:r>
        <w:t xml:space="preserve">Mountain Biking </w:t>
      </w:r>
    </w:p>
    <w:p w14:paraId="03F6F54D" w14:textId="77777777" w:rsidR="00B31621" w:rsidRDefault="003B6206">
      <w:pPr>
        <w:numPr>
          <w:ilvl w:val="0"/>
          <w:numId w:val="5"/>
        </w:numPr>
        <w:ind w:left="781" w:right="9" w:hanging="360"/>
      </w:pPr>
      <w:r>
        <w:t xml:space="preserve">River/gorge/ghyll walking or scrambling, canyoning </w:t>
      </w:r>
    </w:p>
    <w:p w14:paraId="342D5022" w14:textId="77777777" w:rsidR="00B31621" w:rsidRDefault="003B6206">
      <w:pPr>
        <w:numPr>
          <w:ilvl w:val="0"/>
          <w:numId w:val="5"/>
        </w:numPr>
        <w:ind w:left="781" w:right="9" w:hanging="360"/>
      </w:pPr>
      <w:r>
        <w:t xml:space="preserve">Shooting, Archery, Paintballing </w:t>
      </w:r>
    </w:p>
    <w:p w14:paraId="4967F4EE" w14:textId="77777777" w:rsidR="00B31621" w:rsidRDefault="003B6206">
      <w:pPr>
        <w:numPr>
          <w:ilvl w:val="0"/>
          <w:numId w:val="5"/>
        </w:numPr>
        <w:ind w:left="781" w:right="9" w:hanging="360"/>
      </w:pPr>
      <w:r>
        <w:t xml:space="preserve">Skiing (including Indoor or Dry Slope) </w:t>
      </w:r>
    </w:p>
    <w:p w14:paraId="342C1A5D" w14:textId="77777777" w:rsidR="00B31621" w:rsidRDefault="003B6206">
      <w:pPr>
        <w:numPr>
          <w:ilvl w:val="0"/>
          <w:numId w:val="5"/>
        </w:numPr>
        <w:ind w:left="781" w:right="9" w:hanging="360"/>
      </w:pPr>
      <w:r>
        <w:t xml:space="preserve">Snorkel and aqualung activities </w:t>
      </w:r>
    </w:p>
    <w:p w14:paraId="1AFC3BB4" w14:textId="77777777" w:rsidR="00B31621" w:rsidRDefault="003B6206">
      <w:pPr>
        <w:numPr>
          <w:ilvl w:val="0"/>
          <w:numId w:val="5"/>
        </w:numPr>
        <w:ind w:left="781" w:right="9" w:hanging="360"/>
      </w:pPr>
      <w:r>
        <w:t xml:space="preserve">Snowboarding (including Indoor or Dry Slope) </w:t>
      </w:r>
    </w:p>
    <w:p w14:paraId="598B1AAB" w14:textId="77777777" w:rsidR="00B31621" w:rsidRDefault="003B6206">
      <w:pPr>
        <w:numPr>
          <w:ilvl w:val="0"/>
          <w:numId w:val="5"/>
        </w:numPr>
        <w:ind w:left="781" w:right="9" w:hanging="360"/>
      </w:pPr>
      <w:r>
        <w:t xml:space="preserve">Swimming (all forms, excluding UK public pools with lifeguards) </w:t>
      </w:r>
    </w:p>
    <w:p w14:paraId="488AE764" w14:textId="77777777" w:rsidR="00B31621" w:rsidRDefault="003B6206">
      <w:pPr>
        <w:numPr>
          <w:ilvl w:val="0"/>
          <w:numId w:val="5"/>
        </w:numPr>
        <w:ind w:left="781" w:right="9" w:hanging="360"/>
      </w:pPr>
      <w:r>
        <w:t xml:space="preserve">Walking (hills, mountains, open country) </w:t>
      </w:r>
    </w:p>
    <w:p w14:paraId="13DBB5EE" w14:textId="77777777" w:rsidR="00B31621" w:rsidRDefault="003B6206">
      <w:pPr>
        <w:numPr>
          <w:ilvl w:val="0"/>
          <w:numId w:val="5"/>
        </w:numPr>
        <w:ind w:left="781" w:right="9" w:hanging="360"/>
      </w:pPr>
      <w:proofErr w:type="spellStart"/>
      <w:r>
        <w:t>Watersports</w:t>
      </w:r>
      <w:proofErr w:type="spellEnd"/>
      <w:r>
        <w:t xml:space="preserve"> - powered craft, </w:t>
      </w:r>
      <w:proofErr w:type="spellStart"/>
      <w:r>
        <w:t>waterskiing</w:t>
      </w:r>
      <w:proofErr w:type="spellEnd"/>
      <w:r>
        <w:t xml:space="preserve"> (excluding commercial transport) </w:t>
      </w:r>
    </w:p>
    <w:p w14:paraId="6EDF33B0" w14:textId="77777777" w:rsidR="00B31621" w:rsidRDefault="003B6206">
      <w:pPr>
        <w:numPr>
          <w:ilvl w:val="0"/>
          <w:numId w:val="5"/>
        </w:numPr>
        <w:ind w:left="781" w:right="9" w:hanging="360"/>
      </w:pPr>
      <w:proofErr w:type="spellStart"/>
      <w:r>
        <w:t>Watersports</w:t>
      </w:r>
      <w:proofErr w:type="spellEnd"/>
      <w:r>
        <w:t xml:space="preserve"> - Canoeing/Kayaking </w:t>
      </w:r>
    </w:p>
    <w:p w14:paraId="03CEEB0A" w14:textId="77777777" w:rsidR="00B31621" w:rsidRDefault="003B6206">
      <w:pPr>
        <w:numPr>
          <w:ilvl w:val="0"/>
          <w:numId w:val="5"/>
        </w:numPr>
        <w:ind w:left="781" w:right="9" w:hanging="360"/>
      </w:pPr>
      <w:proofErr w:type="spellStart"/>
      <w:r>
        <w:t>Watersports</w:t>
      </w:r>
      <w:proofErr w:type="spellEnd"/>
      <w:r>
        <w:t xml:space="preserve"> - Rafting or improvised rafting </w:t>
      </w:r>
    </w:p>
    <w:p w14:paraId="341B9B1A" w14:textId="77777777" w:rsidR="00B31621" w:rsidRDefault="003B6206">
      <w:pPr>
        <w:numPr>
          <w:ilvl w:val="0"/>
          <w:numId w:val="5"/>
        </w:numPr>
        <w:ind w:left="781" w:right="9" w:hanging="360"/>
      </w:pPr>
      <w:proofErr w:type="spellStart"/>
      <w:r>
        <w:t>Watersports</w:t>
      </w:r>
      <w:proofErr w:type="spellEnd"/>
      <w:r>
        <w:t xml:space="preserve"> – Rowing </w:t>
      </w:r>
    </w:p>
    <w:p w14:paraId="2219FE54" w14:textId="77777777" w:rsidR="00B31621" w:rsidRDefault="003B6206">
      <w:pPr>
        <w:numPr>
          <w:ilvl w:val="0"/>
          <w:numId w:val="5"/>
        </w:numPr>
        <w:ind w:left="781" w:right="9" w:hanging="360"/>
      </w:pPr>
      <w:proofErr w:type="spellStart"/>
      <w:r>
        <w:t>Watersports</w:t>
      </w:r>
      <w:proofErr w:type="spellEnd"/>
      <w:r>
        <w:t xml:space="preserve"> - Sailing / windsurfing / kite surfing </w:t>
      </w:r>
    </w:p>
    <w:p w14:paraId="5A3E93BD" w14:textId="77777777" w:rsidR="00B31621" w:rsidRDefault="003B6206">
      <w:pPr>
        <w:numPr>
          <w:ilvl w:val="0"/>
          <w:numId w:val="5"/>
        </w:numPr>
        <w:ind w:left="781" w:right="9" w:hanging="360"/>
      </w:pPr>
      <w:proofErr w:type="spellStart"/>
      <w:r>
        <w:t>Watersports</w:t>
      </w:r>
      <w:proofErr w:type="spellEnd"/>
      <w:r>
        <w:t xml:space="preserve"> – Surfing </w:t>
      </w:r>
    </w:p>
    <w:p w14:paraId="2DB68E7B" w14:textId="77777777" w:rsidR="00B31621" w:rsidRDefault="003B6206">
      <w:pPr>
        <w:spacing w:after="0" w:line="259" w:lineRule="auto"/>
        <w:ind w:left="0" w:right="0" w:firstLine="0"/>
        <w:jc w:val="left"/>
      </w:pPr>
      <w:r>
        <w:t xml:space="preserve"> </w:t>
      </w:r>
    </w:p>
    <w:p w14:paraId="4F84CFD6" w14:textId="77777777" w:rsidR="00B31621" w:rsidRDefault="003B6206">
      <w:pPr>
        <w:ind w:left="-5" w:right="9"/>
      </w:pPr>
      <w:r>
        <w:t xml:space="preserve">Remote or hazardous locations include: </w:t>
      </w:r>
    </w:p>
    <w:p w14:paraId="352625B3" w14:textId="42C48571" w:rsidR="00B31621" w:rsidRDefault="003B6206">
      <w:pPr>
        <w:numPr>
          <w:ilvl w:val="0"/>
          <w:numId w:val="5"/>
        </w:numPr>
        <w:ind w:left="781" w:right="9" w:hanging="360"/>
      </w:pPr>
      <w:r>
        <w:t xml:space="preserve">areas more than 30 </w:t>
      </w:r>
      <w:r w:rsidR="00863E8A">
        <w:t>minutes’ walk</w:t>
      </w:r>
      <w:r>
        <w:t xml:space="preserve"> from a road or refuge </w:t>
      </w:r>
    </w:p>
    <w:p w14:paraId="13811F85" w14:textId="77777777" w:rsidR="00B31621" w:rsidRDefault="003B6206">
      <w:pPr>
        <w:numPr>
          <w:ilvl w:val="0"/>
          <w:numId w:val="5"/>
        </w:numPr>
        <w:ind w:left="781" w:right="9" w:hanging="360"/>
      </w:pPr>
      <w:r>
        <w:t xml:space="preserve">coastal areas with significant tidal hazards </w:t>
      </w:r>
    </w:p>
    <w:p w14:paraId="5BA2DC79" w14:textId="77777777" w:rsidR="00B31621" w:rsidRDefault="003B6206">
      <w:pPr>
        <w:numPr>
          <w:ilvl w:val="0"/>
          <w:numId w:val="5"/>
        </w:numPr>
        <w:ind w:left="781" w:right="9" w:hanging="360"/>
      </w:pPr>
      <w:r>
        <w:t xml:space="preserve">hazardous quarries </w:t>
      </w:r>
    </w:p>
    <w:p w14:paraId="11F0FFC7" w14:textId="77777777" w:rsidR="00B31621" w:rsidRDefault="003B6206">
      <w:pPr>
        <w:numPr>
          <w:ilvl w:val="0"/>
          <w:numId w:val="5"/>
        </w:numPr>
        <w:ind w:left="781" w:right="9" w:hanging="360"/>
      </w:pPr>
      <w:r>
        <w:t xml:space="preserve">steep terrain </w:t>
      </w:r>
    </w:p>
    <w:p w14:paraId="65912565" w14:textId="77777777" w:rsidR="00B31621" w:rsidRDefault="003B6206">
      <w:pPr>
        <w:spacing w:after="0" w:line="259" w:lineRule="auto"/>
        <w:ind w:left="0" w:right="0" w:firstLine="0"/>
        <w:jc w:val="left"/>
      </w:pPr>
      <w:r>
        <w:rPr>
          <w:b/>
        </w:rPr>
        <w:t xml:space="preserve"> </w:t>
      </w:r>
    </w:p>
    <w:p w14:paraId="0C548510" w14:textId="4FE58A7F" w:rsidR="00B31621" w:rsidRDefault="003B6206">
      <w:pPr>
        <w:ind w:left="-5" w:right="9"/>
      </w:pPr>
      <w:r>
        <w:t xml:space="preserve">These lists are not exhaustive: if in doubt advice should be obtained from the </w:t>
      </w:r>
      <w:r w:rsidR="00432A54">
        <w:t>EVC.</w:t>
      </w:r>
    </w:p>
    <w:p w14:paraId="21816379" w14:textId="77777777" w:rsidR="00B31621" w:rsidRDefault="003B6206">
      <w:pPr>
        <w:spacing w:after="0" w:line="259" w:lineRule="auto"/>
        <w:ind w:left="0" w:right="0" w:firstLine="0"/>
        <w:jc w:val="left"/>
      </w:pPr>
      <w:r>
        <w:rPr>
          <w:b/>
        </w:rPr>
        <w:t xml:space="preserve"> </w:t>
      </w:r>
    </w:p>
    <w:p w14:paraId="7BD1D652" w14:textId="4BA7AEC3" w:rsidR="00B31621" w:rsidRDefault="003B6206">
      <w:pPr>
        <w:pStyle w:val="Heading1"/>
        <w:ind w:left="-5"/>
      </w:pPr>
      <w:r>
        <w:t>1</w:t>
      </w:r>
      <w:r w:rsidR="00863E8A">
        <w:t>4</w:t>
      </w:r>
      <w:r>
        <w:t xml:space="preserve">. </w:t>
      </w:r>
      <w:r w:rsidR="00432A54">
        <w:t xml:space="preserve">Trip </w:t>
      </w:r>
      <w:r>
        <w:t xml:space="preserve">Leader competence and approval </w:t>
      </w:r>
    </w:p>
    <w:p w14:paraId="3C17FEED" w14:textId="54A2F40B" w:rsidR="00B31621" w:rsidRDefault="003B6206">
      <w:pPr>
        <w:ind w:left="-5" w:right="9"/>
      </w:pPr>
      <w:r>
        <w:t xml:space="preserve">The </w:t>
      </w:r>
      <w:r w:rsidR="00863E8A">
        <w:t xml:space="preserve">EV </w:t>
      </w:r>
      <w:r w:rsidR="00432A54">
        <w:t>trip L</w:t>
      </w:r>
      <w:r w:rsidR="00863E8A">
        <w:t xml:space="preserve">eader </w:t>
      </w:r>
      <w:r>
        <w:t xml:space="preserve">is the person responsible for planning and leading a visit, which may involve other members of staff and volunteers.  The </w:t>
      </w:r>
      <w:r w:rsidR="00863E8A">
        <w:t xml:space="preserve">EV Trip </w:t>
      </w:r>
      <w:r w:rsidR="00432A54">
        <w:t>L</w:t>
      </w:r>
      <w:r w:rsidR="00863E8A">
        <w:t xml:space="preserve">eader </w:t>
      </w:r>
      <w:r>
        <w:t xml:space="preserve">is responsible for the supervision of a group of students during a visit. </w:t>
      </w:r>
    </w:p>
    <w:p w14:paraId="7F9B9CBD" w14:textId="77777777" w:rsidR="00B31621" w:rsidRDefault="003B6206">
      <w:pPr>
        <w:spacing w:after="0" w:line="259" w:lineRule="auto"/>
        <w:ind w:left="0" w:right="0" w:firstLine="0"/>
        <w:jc w:val="left"/>
      </w:pPr>
      <w:r>
        <w:t xml:space="preserve"> </w:t>
      </w:r>
    </w:p>
    <w:p w14:paraId="0FD90C47" w14:textId="2C32BB64" w:rsidR="00B31621" w:rsidRDefault="003B6206">
      <w:pPr>
        <w:ind w:left="-5" w:right="9"/>
      </w:pPr>
      <w:r>
        <w:t xml:space="preserve">The </w:t>
      </w:r>
      <w:proofErr w:type="gramStart"/>
      <w:r>
        <w:t>Principal</w:t>
      </w:r>
      <w:proofErr w:type="gramEnd"/>
      <w:r>
        <w:t xml:space="preserve"> must ensure that the </w:t>
      </w:r>
      <w:r w:rsidR="00863E8A">
        <w:t xml:space="preserve">EVC </w:t>
      </w:r>
      <w:r>
        <w:t xml:space="preserve">is competent to carry out their responsibilities.   </w:t>
      </w:r>
    </w:p>
    <w:p w14:paraId="14B8BEF6" w14:textId="77777777" w:rsidR="00B31621" w:rsidRDefault="003B6206">
      <w:pPr>
        <w:spacing w:after="0" w:line="259" w:lineRule="auto"/>
        <w:ind w:left="0" w:right="0" w:firstLine="0"/>
        <w:jc w:val="left"/>
      </w:pPr>
      <w:r>
        <w:lastRenderedPageBreak/>
        <w:t xml:space="preserve"> </w:t>
      </w:r>
    </w:p>
    <w:p w14:paraId="0E829B91" w14:textId="77777777" w:rsidR="00B31621" w:rsidRDefault="003B6206">
      <w:pPr>
        <w:ind w:left="-5" w:right="9"/>
      </w:pPr>
      <w:r>
        <w:t xml:space="preserve">The OEAP National Guidance includes documents on “Assessment of Competence” and “Good Practice Basics”.   </w:t>
      </w:r>
    </w:p>
    <w:p w14:paraId="4396C5FE" w14:textId="77777777" w:rsidR="00B31621" w:rsidRDefault="003B6206">
      <w:pPr>
        <w:spacing w:after="0" w:line="259" w:lineRule="auto"/>
        <w:ind w:left="0" w:right="0" w:firstLine="0"/>
        <w:jc w:val="left"/>
      </w:pPr>
      <w:r>
        <w:t xml:space="preserve"> </w:t>
      </w:r>
    </w:p>
    <w:p w14:paraId="0A368395" w14:textId="206D3E14" w:rsidR="00B31621" w:rsidRDefault="003B6206">
      <w:pPr>
        <w:ind w:left="-5" w:right="9"/>
      </w:pPr>
      <w:r>
        <w:t xml:space="preserve">Kenton staff who wish to lead adventure activities must have approval to do so from the </w:t>
      </w:r>
      <w:proofErr w:type="gramStart"/>
      <w:r>
        <w:t>Principal</w:t>
      </w:r>
      <w:proofErr w:type="gramEnd"/>
      <w:r>
        <w:t xml:space="preserve">. Approval will be based upon evidence of competence, which may include evidence of relevant qualifications, training and experience. </w:t>
      </w:r>
    </w:p>
    <w:p w14:paraId="6862AA97" w14:textId="77777777" w:rsidR="00B31621" w:rsidRDefault="003B6206">
      <w:pPr>
        <w:spacing w:after="0" w:line="259" w:lineRule="auto"/>
        <w:ind w:left="0" w:right="0" w:firstLine="0"/>
        <w:jc w:val="left"/>
      </w:pPr>
      <w:r>
        <w:t xml:space="preserve"> </w:t>
      </w:r>
    </w:p>
    <w:p w14:paraId="2C375D4A" w14:textId="59457F9F" w:rsidR="00B31621" w:rsidRDefault="003B6206">
      <w:pPr>
        <w:pStyle w:val="Heading1"/>
        <w:ind w:left="-5"/>
      </w:pPr>
      <w:r>
        <w:t>1</w:t>
      </w:r>
      <w:r w:rsidR="00432A54">
        <w:t>5</w:t>
      </w:r>
      <w:r>
        <w:t xml:space="preserve">. Minibus driving </w:t>
      </w:r>
    </w:p>
    <w:p w14:paraId="6302B214" w14:textId="229E0528" w:rsidR="00B31621" w:rsidRDefault="003B6206">
      <w:pPr>
        <w:ind w:left="-5" w:right="9"/>
      </w:pPr>
      <w:r>
        <w:t xml:space="preserve">Kenton policies regarding minibus operation must be followed.  The OEAP National </w:t>
      </w:r>
      <w:proofErr w:type="gramStart"/>
      <w:r>
        <w:t>Guidance  includes</w:t>
      </w:r>
      <w:proofErr w:type="gramEnd"/>
      <w:r>
        <w:t xml:space="preserve"> guidance on the use of minibuses.  </w:t>
      </w:r>
    </w:p>
    <w:p w14:paraId="79768D11" w14:textId="77777777" w:rsidR="00B31621" w:rsidRDefault="003B6206">
      <w:pPr>
        <w:spacing w:after="0" w:line="259" w:lineRule="auto"/>
        <w:ind w:left="0" w:right="0" w:firstLine="0"/>
        <w:jc w:val="left"/>
      </w:pPr>
      <w:r>
        <w:rPr>
          <w:b/>
        </w:rPr>
        <w:t xml:space="preserve"> </w:t>
      </w:r>
    </w:p>
    <w:p w14:paraId="540EC347" w14:textId="11054F49" w:rsidR="00B31621" w:rsidRDefault="003B6206">
      <w:pPr>
        <w:pStyle w:val="Heading1"/>
        <w:ind w:left="-5"/>
      </w:pPr>
      <w:r>
        <w:t>1</w:t>
      </w:r>
      <w:r w:rsidR="00432A54">
        <w:t>6</w:t>
      </w:r>
      <w:r>
        <w:t xml:space="preserve">. Emergency Planning and Critical Incidents </w:t>
      </w:r>
    </w:p>
    <w:p w14:paraId="55666F9B" w14:textId="77777777" w:rsidR="00B31621" w:rsidRDefault="003B6206">
      <w:pPr>
        <w:spacing w:after="47"/>
        <w:ind w:left="-5" w:right="9"/>
      </w:pPr>
      <w:r>
        <w:t xml:space="preserve">A critical incident is an incident where any participant in a visit: </w:t>
      </w:r>
    </w:p>
    <w:p w14:paraId="55D46DF7" w14:textId="2CE3F88C" w:rsidR="00B31621" w:rsidRDefault="003B6206">
      <w:pPr>
        <w:numPr>
          <w:ilvl w:val="0"/>
          <w:numId w:val="6"/>
        </w:numPr>
        <w:ind w:left="721" w:right="9" w:hanging="360"/>
      </w:pPr>
      <w:r>
        <w:t xml:space="preserve">has suffered a </w:t>
      </w:r>
      <w:r w:rsidR="00432A54">
        <w:t>life-threatening</w:t>
      </w:r>
      <w:r>
        <w:t xml:space="preserve"> injury or fatality </w:t>
      </w:r>
    </w:p>
    <w:p w14:paraId="518B82B5" w14:textId="77777777" w:rsidR="00B31621" w:rsidRDefault="003B6206">
      <w:pPr>
        <w:numPr>
          <w:ilvl w:val="0"/>
          <w:numId w:val="6"/>
        </w:numPr>
        <w:ind w:left="721" w:right="9" w:hanging="360"/>
      </w:pPr>
      <w:r>
        <w:t xml:space="preserve">is at serious risk </w:t>
      </w:r>
    </w:p>
    <w:p w14:paraId="70223BC2" w14:textId="77777777" w:rsidR="00B31621" w:rsidRDefault="003B6206">
      <w:pPr>
        <w:numPr>
          <w:ilvl w:val="0"/>
          <w:numId w:val="6"/>
        </w:numPr>
        <w:ind w:left="721" w:right="9" w:hanging="360"/>
      </w:pPr>
      <w:r>
        <w:t xml:space="preserve">has gone missing for a significant and unacceptable period </w:t>
      </w:r>
    </w:p>
    <w:p w14:paraId="6C5B71CB" w14:textId="77777777" w:rsidR="00B31621" w:rsidRDefault="003B6206">
      <w:pPr>
        <w:spacing w:after="0" w:line="259" w:lineRule="auto"/>
        <w:ind w:left="0" w:right="0" w:firstLine="0"/>
        <w:jc w:val="left"/>
      </w:pPr>
      <w:r>
        <w:t xml:space="preserve"> </w:t>
      </w:r>
    </w:p>
    <w:p w14:paraId="0B295D61" w14:textId="4A31D375" w:rsidR="00B31621" w:rsidRDefault="003B6206">
      <w:pPr>
        <w:ind w:left="-5" w:right="9"/>
      </w:pPr>
      <w:r>
        <w:t xml:space="preserve">Kenton has policies and procedures for responding to crises and critical incidents (Safeguarding Policy).  The OEAP National Guidance includes information on planning for and managing critical incidents on visits, which can be found using the site’s search function.  The website </w:t>
      </w:r>
      <w:r>
        <w:rPr>
          <w:color w:val="1F497D"/>
          <w:u w:val="single" w:color="1F497D"/>
        </w:rPr>
        <w:t>www.schoolemergencies.info</w:t>
      </w:r>
      <w:r>
        <w:rPr>
          <w:color w:val="1F497D"/>
        </w:rPr>
        <w:t xml:space="preserve"> </w:t>
      </w:r>
      <w:r>
        <w:t xml:space="preserve">provides resources on planning to deal with a school emergency. </w:t>
      </w:r>
    </w:p>
    <w:p w14:paraId="4CF0039E" w14:textId="77777777" w:rsidR="00B31621" w:rsidRDefault="003B6206">
      <w:pPr>
        <w:spacing w:after="0" w:line="259" w:lineRule="auto"/>
        <w:ind w:left="0" w:right="0" w:firstLine="0"/>
        <w:jc w:val="left"/>
      </w:pPr>
      <w:r>
        <w:rPr>
          <w:b/>
        </w:rPr>
        <w:t xml:space="preserve"> </w:t>
      </w:r>
    </w:p>
    <w:p w14:paraId="2EC792C6" w14:textId="71589827" w:rsidR="00B31621" w:rsidRDefault="003B6206">
      <w:pPr>
        <w:pStyle w:val="Heading1"/>
        <w:ind w:left="-5"/>
      </w:pPr>
      <w:r>
        <w:t>1</w:t>
      </w:r>
      <w:r w:rsidR="00432A54">
        <w:t>7</w:t>
      </w:r>
      <w:r>
        <w:t xml:space="preserve">. Accident/incident reporting </w:t>
      </w:r>
    </w:p>
    <w:p w14:paraId="39568F9F" w14:textId="587E6682" w:rsidR="00B31621" w:rsidRDefault="003B6206">
      <w:pPr>
        <w:ind w:left="-5" w:right="9"/>
      </w:pPr>
      <w:r>
        <w:t xml:space="preserve">Kenton incident reporting procedures must be followed. After any major incident on an Educational Visit, Kenton should undertake a review of the incident, their risk assessments and emergency procedures, and should share the findings with the Educational Visits Co-ordinator. It is also good practice to record and learn from ‘near </w:t>
      </w:r>
      <w:proofErr w:type="gramStart"/>
      <w:r>
        <w:t>misses’</w:t>
      </w:r>
      <w:proofErr w:type="gramEnd"/>
      <w:r>
        <w:t xml:space="preserve">.  Kenton should establish a system for doing this and should consider how best to share the learning outcomes of such incidents. </w:t>
      </w:r>
    </w:p>
    <w:p w14:paraId="48D08A7F" w14:textId="77777777" w:rsidR="00B31621" w:rsidRDefault="003B6206">
      <w:pPr>
        <w:spacing w:after="0" w:line="259" w:lineRule="auto"/>
        <w:ind w:left="0" w:right="0" w:firstLine="0"/>
        <w:jc w:val="left"/>
      </w:pPr>
      <w:r>
        <w:rPr>
          <w:b/>
        </w:rPr>
        <w:t xml:space="preserve"> </w:t>
      </w:r>
    </w:p>
    <w:p w14:paraId="035E0BC6" w14:textId="096F396C" w:rsidR="00B31621" w:rsidRDefault="003B6206">
      <w:pPr>
        <w:pStyle w:val="Heading1"/>
        <w:ind w:left="-5"/>
      </w:pPr>
      <w:r>
        <w:t>1</w:t>
      </w:r>
      <w:r w:rsidR="00432A54">
        <w:t>8</w:t>
      </w:r>
      <w:r>
        <w:t xml:space="preserve">. Supervision </w:t>
      </w:r>
    </w:p>
    <w:p w14:paraId="49F6520B" w14:textId="77777777" w:rsidR="00B31621" w:rsidRDefault="003B6206">
      <w:pPr>
        <w:ind w:left="-5" w:right="9"/>
      </w:pPr>
      <w:r>
        <w:t xml:space="preserve">OEAP National Guidance includes documents on “Ratios and Effective Supervision” and “Group Management and Supervision”. </w:t>
      </w:r>
    </w:p>
    <w:p w14:paraId="09B642CC" w14:textId="77777777" w:rsidR="00B31621" w:rsidRDefault="003B6206">
      <w:pPr>
        <w:spacing w:after="0" w:line="259" w:lineRule="auto"/>
        <w:ind w:left="0" w:right="0" w:firstLine="0"/>
        <w:jc w:val="left"/>
      </w:pPr>
      <w:r>
        <w:t xml:space="preserve"> </w:t>
      </w:r>
    </w:p>
    <w:p w14:paraId="302D3492" w14:textId="77777777" w:rsidR="00B31621" w:rsidRDefault="003B6206">
      <w:pPr>
        <w:spacing w:after="52"/>
        <w:ind w:left="-5" w:right="9"/>
      </w:pPr>
      <w:r>
        <w:t xml:space="preserve">This Policy does not prescribe minimum staff to participant ratios for visits (except where the law requires minimum ratios for Early Years). Ratios and other arrangements for the effective supervision of students should be determined as part of the risk assessment process by proper consideration of factors including: </w:t>
      </w:r>
    </w:p>
    <w:p w14:paraId="5146A22D" w14:textId="77777777" w:rsidR="00B31621" w:rsidRDefault="003B6206">
      <w:pPr>
        <w:numPr>
          <w:ilvl w:val="0"/>
          <w:numId w:val="7"/>
        </w:numPr>
        <w:ind w:left="721" w:right="9" w:hanging="360"/>
      </w:pPr>
      <w:r>
        <w:t xml:space="preserve">age (including the developmental age) of the group </w:t>
      </w:r>
    </w:p>
    <w:p w14:paraId="1DC869B9" w14:textId="77777777" w:rsidR="00B31621" w:rsidRDefault="003B6206">
      <w:pPr>
        <w:numPr>
          <w:ilvl w:val="0"/>
          <w:numId w:val="7"/>
        </w:numPr>
        <w:ind w:left="721" w:right="9" w:hanging="360"/>
      </w:pPr>
      <w:r>
        <w:t xml:space="preserve">gender issues </w:t>
      </w:r>
    </w:p>
    <w:p w14:paraId="2C8C9BBA" w14:textId="77777777" w:rsidR="00B31621" w:rsidRDefault="003B6206">
      <w:pPr>
        <w:numPr>
          <w:ilvl w:val="0"/>
          <w:numId w:val="7"/>
        </w:numPr>
        <w:spacing w:after="52"/>
        <w:ind w:left="721" w:right="9" w:hanging="360"/>
      </w:pPr>
      <w:r>
        <w:lastRenderedPageBreak/>
        <w:t xml:space="preserve">ability of the group (including special needs, behavioural, medical and vulnerability characteristics etc) </w:t>
      </w:r>
    </w:p>
    <w:p w14:paraId="293EE6EB" w14:textId="77777777" w:rsidR="00B31621" w:rsidRDefault="003B6206">
      <w:pPr>
        <w:numPr>
          <w:ilvl w:val="0"/>
          <w:numId w:val="7"/>
        </w:numPr>
        <w:ind w:left="721" w:right="9" w:hanging="360"/>
      </w:pPr>
      <w:r>
        <w:t xml:space="preserve">nature and location of the activity (including the type of activity, duration, skill levels involved, as well as the time of year and prevailing conditions) </w:t>
      </w:r>
      <w:r>
        <w:rPr>
          <w:rFonts w:ascii="Segoe UI Symbol" w:eastAsia="Segoe UI Symbol" w:hAnsi="Segoe UI Symbol" w:cs="Segoe UI Symbol"/>
        </w:rPr>
        <w:t></w:t>
      </w:r>
      <w:r>
        <w:rPr>
          <w:rFonts w:ascii="Arial" w:eastAsia="Arial" w:hAnsi="Arial" w:cs="Arial"/>
        </w:rPr>
        <w:t xml:space="preserve"> </w:t>
      </w:r>
      <w:r>
        <w:t xml:space="preserve">staff competence. </w:t>
      </w:r>
    </w:p>
    <w:p w14:paraId="6D2D8F9F" w14:textId="77777777" w:rsidR="00B31621" w:rsidRDefault="003B6206">
      <w:pPr>
        <w:spacing w:after="0" w:line="259" w:lineRule="auto"/>
        <w:ind w:left="0" w:right="0" w:firstLine="0"/>
        <w:jc w:val="left"/>
      </w:pPr>
      <w:r>
        <w:rPr>
          <w:b/>
        </w:rPr>
        <w:t xml:space="preserve"> </w:t>
      </w:r>
    </w:p>
    <w:p w14:paraId="07EBC731" w14:textId="1F77262D" w:rsidR="00B31621" w:rsidRDefault="00432A54">
      <w:pPr>
        <w:pStyle w:val="Heading1"/>
        <w:ind w:left="-5"/>
      </w:pPr>
      <w:r>
        <w:t>19</w:t>
      </w:r>
      <w:r w:rsidR="003B6206">
        <w:t xml:space="preserve">. Monitoring </w:t>
      </w:r>
    </w:p>
    <w:p w14:paraId="7B456329" w14:textId="0358C32C" w:rsidR="00B31621" w:rsidRDefault="003B6206">
      <w:pPr>
        <w:ind w:left="-5" w:right="9"/>
      </w:pPr>
      <w:r>
        <w:t xml:space="preserve">The </w:t>
      </w:r>
      <w:proofErr w:type="gramStart"/>
      <w:r>
        <w:t>Principal</w:t>
      </w:r>
      <w:proofErr w:type="gramEnd"/>
      <w:r>
        <w:t xml:space="preserve"> is responsible for ensuring compliance with this Policy and for the monitoring of visits organised by Kenton.  The </w:t>
      </w:r>
      <w:r w:rsidR="00432A54">
        <w:t xml:space="preserve">EVC </w:t>
      </w:r>
      <w:r>
        <w:t xml:space="preserve">is often best placed to carry out routine monitoring.  The OEAP National Guidance includes a document on monitoring.  </w:t>
      </w:r>
    </w:p>
    <w:p w14:paraId="2FFA1D39" w14:textId="77777777" w:rsidR="00B31621" w:rsidRDefault="003B6206">
      <w:pPr>
        <w:spacing w:after="0" w:line="259" w:lineRule="auto"/>
        <w:ind w:left="0" w:right="0" w:firstLine="0"/>
        <w:jc w:val="left"/>
      </w:pPr>
      <w:r>
        <w:rPr>
          <w:b/>
        </w:rPr>
        <w:t xml:space="preserve"> </w:t>
      </w:r>
    </w:p>
    <w:p w14:paraId="293FDAF7" w14:textId="5B57FF68" w:rsidR="00B31621" w:rsidRDefault="003B6206">
      <w:pPr>
        <w:pStyle w:val="Heading1"/>
        <w:ind w:left="-5"/>
      </w:pPr>
      <w:r>
        <w:t>2</w:t>
      </w:r>
      <w:r w:rsidR="00432A54">
        <w:t>0</w:t>
      </w:r>
      <w:r>
        <w:t xml:space="preserve">. Assessing Venues and Providers </w:t>
      </w:r>
    </w:p>
    <w:p w14:paraId="11C0059B" w14:textId="77777777" w:rsidR="00B31621" w:rsidRDefault="003B6206">
      <w:pPr>
        <w:ind w:left="-5" w:right="9"/>
      </w:pPr>
      <w:r>
        <w:t xml:space="preserve">The OEAP National Guidance includes guidance on Preliminary Visits and Provider Assurances. </w:t>
      </w:r>
    </w:p>
    <w:p w14:paraId="0EA3D6EA" w14:textId="77777777" w:rsidR="00B31621" w:rsidRDefault="003B6206">
      <w:pPr>
        <w:spacing w:after="0" w:line="259" w:lineRule="auto"/>
        <w:ind w:left="0" w:right="0" w:firstLine="0"/>
        <w:jc w:val="left"/>
      </w:pPr>
      <w:r>
        <w:t xml:space="preserve"> </w:t>
      </w:r>
    </w:p>
    <w:p w14:paraId="3E788D0D" w14:textId="77777777" w:rsidR="00B31621" w:rsidRDefault="003B6206">
      <w:pPr>
        <w:ind w:left="-5" w:right="9"/>
      </w:pPr>
      <w:r>
        <w:t xml:space="preserve">The Learning outside the Classroom Quality Badge provides sufficient reassurance that a provider meets nationally required minimum standards of safety and quality. Details of a provider’s status can be checked on the Quality Badge website </w:t>
      </w:r>
      <w:r>
        <w:rPr>
          <w:color w:val="1F497D"/>
          <w:u w:val="single" w:color="1F497D"/>
        </w:rPr>
        <w:t>www.lotcqualitybadge.org.uk</w:t>
      </w:r>
      <w:r>
        <w:rPr>
          <w:u w:val="single" w:color="1F497D"/>
        </w:rPr>
        <w:t>.</w:t>
      </w:r>
      <w:r>
        <w:t xml:space="preserve"> </w:t>
      </w:r>
    </w:p>
    <w:p w14:paraId="31C7EE7C" w14:textId="77777777" w:rsidR="00B31621" w:rsidRDefault="003B6206">
      <w:pPr>
        <w:spacing w:after="0" w:line="259" w:lineRule="auto"/>
        <w:ind w:left="0" w:right="0" w:firstLine="0"/>
        <w:jc w:val="left"/>
      </w:pPr>
      <w:r>
        <w:t xml:space="preserve"> </w:t>
      </w:r>
    </w:p>
    <w:p w14:paraId="5E14DED1" w14:textId="1FDC91F3" w:rsidR="00B31621" w:rsidRDefault="003B6206">
      <w:pPr>
        <w:ind w:left="-5" w:right="9"/>
      </w:pPr>
      <w:r>
        <w:t xml:space="preserve">If a provider of activities does not hold the Quality Badge, then detailed checks should be made to ensure that it meets required standards. </w:t>
      </w:r>
    </w:p>
    <w:p w14:paraId="61B4D49C" w14:textId="77777777" w:rsidR="00B31621" w:rsidRDefault="003B6206">
      <w:pPr>
        <w:spacing w:after="0" w:line="259" w:lineRule="auto"/>
        <w:ind w:left="0" w:right="0" w:firstLine="0"/>
        <w:jc w:val="left"/>
      </w:pPr>
      <w:r>
        <w:rPr>
          <w:b/>
        </w:rPr>
        <w:t xml:space="preserve"> </w:t>
      </w:r>
    </w:p>
    <w:p w14:paraId="714D58F5" w14:textId="53643EEF" w:rsidR="00B31621" w:rsidRDefault="003B6206">
      <w:pPr>
        <w:pStyle w:val="Heading1"/>
        <w:ind w:left="-5"/>
      </w:pPr>
      <w:r>
        <w:t>2</w:t>
      </w:r>
      <w:r w:rsidR="00432A54">
        <w:t>1</w:t>
      </w:r>
      <w:r>
        <w:t xml:space="preserve">. Insurance </w:t>
      </w:r>
    </w:p>
    <w:p w14:paraId="3F5AAB9C" w14:textId="5AB2B97A" w:rsidR="00B31621" w:rsidRDefault="003B6206">
      <w:pPr>
        <w:ind w:left="-5" w:right="9"/>
      </w:pPr>
      <w:r>
        <w:t xml:space="preserve">The OEAP National Guidance includes guidance about insurance for visits.  Kenton should arrange Cancellation and Personal Accident cover for visits, unless they already have blanket insurance cover in place. This should cover cancellation of contracts with providers in the event of circumstances such as travel difficulties or illness or injury to participants, staff or their families. </w:t>
      </w:r>
    </w:p>
    <w:p w14:paraId="14765C36" w14:textId="77777777" w:rsidR="00B31621" w:rsidRDefault="003B6206">
      <w:pPr>
        <w:spacing w:after="0" w:line="259" w:lineRule="auto"/>
        <w:ind w:left="0" w:right="0" w:firstLine="0"/>
        <w:jc w:val="left"/>
      </w:pPr>
      <w:r>
        <w:t xml:space="preserve"> </w:t>
      </w:r>
    </w:p>
    <w:p w14:paraId="1BBC439C" w14:textId="77777777" w:rsidR="00B31621" w:rsidRDefault="003B6206">
      <w:pPr>
        <w:ind w:left="-5" w:right="9"/>
      </w:pPr>
      <w:r>
        <w:t xml:space="preserve">When buying insurance cover from any source, the terms of the policy should be studied carefully, paying particular attention to the exclusions.  Separate insurance or extensions to the policy should be arranged for any items for which the standard cover is inadequate. </w:t>
      </w:r>
    </w:p>
    <w:p w14:paraId="207A6FCC" w14:textId="77777777" w:rsidR="00B31621" w:rsidRDefault="003B6206">
      <w:pPr>
        <w:spacing w:after="0" w:line="259" w:lineRule="auto"/>
        <w:ind w:left="0" w:right="0" w:firstLine="0"/>
        <w:jc w:val="left"/>
      </w:pPr>
      <w:r>
        <w:rPr>
          <w:b/>
        </w:rPr>
        <w:t xml:space="preserve"> </w:t>
      </w:r>
    </w:p>
    <w:p w14:paraId="141F9A76" w14:textId="76958CDF" w:rsidR="00B31621" w:rsidRDefault="003B6206">
      <w:pPr>
        <w:pStyle w:val="Heading1"/>
        <w:ind w:left="-5"/>
      </w:pPr>
      <w:r>
        <w:t>2</w:t>
      </w:r>
      <w:r w:rsidR="00432A54">
        <w:t>2</w:t>
      </w:r>
      <w:r>
        <w:t>. Further Information and Advice</w:t>
      </w:r>
      <w:r>
        <w:rPr>
          <w:b w:val="0"/>
        </w:rPr>
        <w:t xml:space="preserve"> </w:t>
      </w:r>
    </w:p>
    <w:p w14:paraId="1B7560EF" w14:textId="4E897350" w:rsidR="00B31621" w:rsidRDefault="003B6206">
      <w:pPr>
        <w:ind w:left="-5" w:right="9"/>
      </w:pPr>
      <w:r>
        <w:t xml:space="preserve">Further information and advice is available from </w:t>
      </w:r>
      <w:r w:rsidR="00432A54">
        <w:t>Ian Grayson EVC Kenton.</w:t>
      </w:r>
    </w:p>
    <w:sectPr w:rsidR="00B31621">
      <w:headerReference w:type="even" r:id="rId9"/>
      <w:headerReference w:type="default" r:id="rId10"/>
      <w:footerReference w:type="even" r:id="rId11"/>
      <w:footerReference w:type="default" r:id="rId12"/>
      <w:headerReference w:type="first" r:id="rId13"/>
      <w:footerReference w:type="first" r:id="rId14"/>
      <w:pgSz w:w="11910" w:h="16845"/>
      <w:pgMar w:top="1468" w:right="1419" w:bottom="1691" w:left="144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4F924" w14:textId="77777777" w:rsidR="00CE3164" w:rsidRDefault="003B6206">
      <w:pPr>
        <w:spacing w:after="0" w:line="240" w:lineRule="auto"/>
      </w:pPr>
      <w:r>
        <w:separator/>
      </w:r>
    </w:p>
  </w:endnote>
  <w:endnote w:type="continuationSeparator" w:id="0">
    <w:p w14:paraId="4ECFD525" w14:textId="77777777" w:rsidR="00CE3164" w:rsidRDefault="003B6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339C6" w14:textId="77777777" w:rsidR="00B31621" w:rsidRDefault="003B6206">
    <w:pPr>
      <w:spacing w:after="214" w:line="259" w:lineRule="auto"/>
      <w:ind w:left="0" w:right="-1" w:firstLine="0"/>
      <w:jc w:val="right"/>
    </w:pPr>
    <w:r>
      <w:fldChar w:fldCharType="begin"/>
    </w:r>
    <w:r>
      <w:instrText xml:space="preserve"> PAGE   \* MERGEFORMAT </w:instrText>
    </w:r>
    <w:r>
      <w:fldChar w:fldCharType="separate"/>
    </w:r>
    <w:r>
      <w:rPr>
        <w:sz w:val="23"/>
      </w:rPr>
      <w:t>2</w:t>
    </w:r>
    <w:r>
      <w:rPr>
        <w:sz w:val="23"/>
      </w:rPr>
      <w:fldChar w:fldCharType="end"/>
    </w:r>
    <w:r>
      <w:rPr>
        <w:sz w:val="23"/>
      </w:rPr>
      <w:t xml:space="preserve"> </w:t>
    </w:r>
  </w:p>
  <w:p w14:paraId="07CC33F5" w14:textId="77777777" w:rsidR="00B31621" w:rsidRDefault="003B6206">
    <w:pPr>
      <w:spacing w:after="0" w:line="259" w:lineRule="auto"/>
      <w:ind w:left="0" w:right="0" w:firstLine="0"/>
      <w:jc w:val="left"/>
    </w:pPr>
    <w:r>
      <w:rPr>
        <w:sz w:val="23"/>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EBAA6" w14:textId="77777777" w:rsidR="00B31621" w:rsidRDefault="003B6206">
    <w:pPr>
      <w:spacing w:after="214" w:line="259" w:lineRule="auto"/>
      <w:ind w:left="0" w:right="-1" w:firstLine="0"/>
      <w:jc w:val="right"/>
    </w:pPr>
    <w:r>
      <w:fldChar w:fldCharType="begin"/>
    </w:r>
    <w:r>
      <w:instrText xml:space="preserve"> PAGE   \* MERGEFORMAT </w:instrText>
    </w:r>
    <w:r>
      <w:fldChar w:fldCharType="separate"/>
    </w:r>
    <w:r>
      <w:rPr>
        <w:sz w:val="23"/>
      </w:rPr>
      <w:t>2</w:t>
    </w:r>
    <w:r>
      <w:rPr>
        <w:sz w:val="23"/>
      </w:rPr>
      <w:fldChar w:fldCharType="end"/>
    </w:r>
    <w:r>
      <w:rPr>
        <w:sz w:val="23"/>
      </w:rPr>
      <w:t xml:space="preserve"> </w:t>
    </w:r>
  </w:p>
  <w:p w14:paraId="2A8B452D" w14:textId="77777777" w:rsidR="00B31621" w:rsidRDefault="003B6206">
    <w:pPr>
      <w:spacing w:after="0" w:line="259" w:lineRule="auto"/>
      <w:ind w:left="0" w:right="0" w:firstLine="0"/>
      <w:jc w:val="left"/>
    </w:pPr>
    <w:r>
      <w:rPr>
        <w:sz w:val="23"/>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21E97" w14:textId="77777777" w:rsidR="00B31621" w:rsidRDefault="00B31621">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607C7" w14:textId="77777777" w:rsidR="00CE3164" w:rsidRDefault="003B6206">
      <w:pPr>
        <w:spacing w:after="0" w:line="240" w:lineRule="auto"/>
      </w:pPr>
      <w:r>
        <w:separator/>
      </w:r>
    </w:p>
  </w:footnote>
  <w:footnote w:type="continuationSeparator" w:id="0">
    <w:p w14:paraId="2F247D57" w14:textId="77777777" w:rsidR="00CE3164" w:rsidRDefault="003B6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49D8A" w14:textId="77777777" w:rsidR="00B31621" w:rsidRDefault="003B6206">
    <w:pPr>
      <w:spacing w:after="0" w:line="259" w:lineRule="auto"/>
      <w:ind w:left="0" w:right="-43" w:firstLine="0"/>
      <w:jc w:val="right"/>
    </w:pPr>
    <w:r>
      <w:rPr>
        <w:noProof/>
      </w:rPr>
      <w:drawing>
        <wp:anchor distT="0" distB="0" distL="114300" distR="114300" simplePos="0" relativeHeight="251658240" behindDoc="0" locked="0" layoutInCell="1" allowOverlap="0" wp14:anchorId="0EAB0599" wp14:editId="5202647F">
          <wp:simplePos x="0" y="0"/>
          <wp:positionH relativeFrom="page">
            <wp:posOffset>5295900</wp:posOffset>
          </wp:positionH>
          <wp:positionV relativeFrom="page">
            <wp:posOffset>447675</wp:posOffset>
          </wp:positionV>
          <wp:extent cx="1352550" cy="838200"/>
          <wp:effectExtent l="0" t="0" r="0" b="0"/>
          <wp:wrapSquare wrapText="bothSides"/>
          <wp:docPr id="55" name="Picture 55"/>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1"/>
                  <a:stretch>
                    <a:fillRect/>
                  </a:stretch>
                </pic:blipFill>
                <pic:spPr>
                  <a:xfrm>
                    <a:off x="0" y="0"/>
                    <a:ext cx="1352550" cy="838200"/>
                  </a:xfrm>
                  <a:prstGeom prst="rect">
                    <a:avLst/>
                  </a:prstGeom>
                </pic:spPr>
              </pic:pic>
            </a:graphicData>
          </a:graphic>
        </wp:anchor>
      </w:drawing>
    </w:r>
    <w:r>
      <w:rPr>
        <w:sz w:val="23"/>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1E44" w14:textId="77777777" w:rsidR="00B31621" w:rsidRDefault="003B6206">
    <w:pPr>
      <w:spacing w:after="0" w:line="259" w:lineRule="auto"/>
      <w:ind w:left="0" w:right="-43" w:firstLine="0"/>
      <w:jc w:val="right"/>
    </w:pPr>
    <w:r>
      <w:rPr>
        <w:noProof/>
      </w:rPr>
      <w:drawing>
        <wp:anchor distT="0" distB="0" distL="114300" distR="114300" simplePos="0" relativeHeight="251659264" behindDoc="0" locked="0" layoutInCell="1" allowOverlap="0" wp14:anchorId="40D63288" wp14:editId="06ADD1D0">
          <wp:simplePos x="0" y="0"/>
          <wp:positionH relativeFrom="margin">
            <wp:align>right</wp:align>
          </wp:positionH>
          <wp:positionV relativeFrom="page">
            <wp:posOffset>133350</wp:posOffset>
          </wp:positionV>
          <wp:extent cx="1315204" cy="8382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15204" cy="838200"/>
                  </a:xfrm>
                  <a:prstGeom prst="rect">
                    <a:avLst/>
                  </a:prstGeom>
                </pic:spPr>
              </pic:pic>
            </a:graphicData>
          </a:graphic>
          <wp14:sizeRelH relativeFrom="margin">
            <wp14:pctWidth>0</wp14:pctWidth>
          </wp14:sizeRelH>
        </wp:anchor>
      </w:drawing>
    </w:r>
    <w:r>
      <w:rPr>
        <w:sz w:val="23"/>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12F19" w14:textId="77777777" w:rsidR="00B31621" w:rsidRDefault="00B31621">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62253"/>
    <w:multiLevelType w:val="hybridMultilevel"/>
    <w:tmpl w:val="0534DB8E"/>
    <w:lvl w:ilvl="0" w:tplc="974EFB12">
      <w:start w:val="1"/>
      <w:numFmt w:val="bullet"/>
      <w:lvlText w:val="•"/>
      <w:lvlJc w:val="left"/>
      <w:pPr>
        <w:ind w:left="2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D23AB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1A21FD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422249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281B0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69E753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B81DA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2010B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92C4D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983218C"/>
    <w:multiLevelType w:val="hybridMultilevel"/>
    <w:tmpl w:val="6708FD60"/>
    <w:lvl w:ilvl="0" w:tplc="EF3C8DE6">
      <w:start w:val="1"/>
      <w:numFmt w:val="bullet"/>
      <w:lvlText w:val="•"/>
      <w:lvlJc w:val="left"/>
      <w:pPr>
        <w:ind w:left="4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32CB18">
      <w:start w:val="1"/>
      <w:numFmt w:val="bullet"/>
      <w:lvlText w:val="o"/>
      <w:lvlJc w:val="left"/>
      <w:pPr>
        <w:ind w:left="1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4C65EC2">
      <w:start w:val="1"/>
      <w:numFmt w:val="bullet"/>
      <w:lvlText w:val="▪"/>
      <w:lvlJc w:val="left"/>
      <w:pPr>
        <w:ind w:left="20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7603EDC">
      <w:start w:val="1"/>
      <w:numFmt w:val="bullet"/>
      <w:lvlText w:val="•"/>
      <w:lvlJc w:val="left"/>
      <w:pPr>
        <w:ind w:left="2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226B2A">
      <w:start w:val="1"/>
      <w:numFmt w:val="bullet"/>
      <w:lvlText w:val="o"/>
      <w:lvlJc w:val="left"/>
      <w:pPr>
        <w:ind w:left="3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32686A">
      <w:start w:val="1"/>
      <w:numFmt w:val="bullet"/>
      <w:lvlText w:val="▪"/>
      <w:lvlJc w:val="left"/>
      <w:pPr>
        <w:ind w:left="42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6C76A8">
      <w:start w:val="1"/>
      <w:numFmt w:val="bullet"/>
      <w:lvlText w:val="•"/>
      <w:lvlJc w:val="left"/>
      <w:pPr>
        <w:ind w:left="49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5C8C5E">
      <w:start w:val="1"/>
      <w:numFmt w:val="bullet"/>
      <w:lvlText w:val="o"/>
      <w:lvlJc w:val="left"/>
      <w:pPr>
        <w:ind w:left="56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81C98C4">
      <w:start w:val="1"/>
      <w:numFmt w:val="bullet"/>
      <w:lvlText w:val="▪"/>
      <w:lvlJc w:val="left"/>
      <w:pPr>
        <w:ind w:left="64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BD05C66"/>
    <w:multiLevelType w:val="hybridMultilevel"/>
    <w:tmpl w:val="F4C4C3A2"/>
    <w:lvl w:ilvl="0" w:tplc="AE60370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2EF06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9B83E4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F8405A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76877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5165BB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5B0A47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8EA52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225DF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67F3A80"/>
    <w:multiLevelType w:val="hybridMultilevel"/>
    <w:tmpl w:val="EEE8CED0"/>
    <w:lvl w:ilvl="0" w:tplc="9D9E3678">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58834E">
      <w:start w:val="1"/>
      <w:numFmt w:val="bullet"/>
      <w:lvlText w:val="o"/>
      <w:lvlJc w:val="left"/>
      <w:pPr>
        <w:ind w:left="1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2E0414">
      <w:start w:val="1"/>
      <w:numFmt w:val="bullet"/>
      <w:lvlText w:val="▪"/>
      <w:lvlJc w:val="left"/>
      <w:pPr>
        <w:ind w:left="20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D22E9A">
      <w:start w:val="1"/>
      <w:numFmt w:val="bullet"/>
      <w:lvlText w:val="•"/>
      <w:lvlJc w:val="left"/>
      <w:pPr>
        <w:ind w:left="2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4ED5B8">
      <w:start w:val="1"/>
      <w:numFmt w:val="bullet"/>
      <w:lvlText w:val="o"/>
      <w:lvlJc w:val="left"/>
      <w:pPr>
        <w:ind w:left="3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AC0EEA">
      <w:start w:val="1"/>
      <w:numFmt w:val="bullet"/>
      <w:lvlText w:val="▪"/>
      <w:lvlJc w:val="left"/>
      <w:pPr>
        <w:ind w:left="42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7A8EAF6">
      <w:start w:val="1"/>
      <w:numFmt w:val="bullet"/>
      <w:lvlText w:val="•"/>
      <w:lvlJc w:val="left"/>
      <w:pPr>
        <w:ind w:left="49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7A70B0">
      <w:start w:val="1"/>
      <w:numFmt w:val="bullet"/>
      <w:lvlText w:val="o"/>
      <w:lvlJc w:val="left"/>
      <w:pPr>
        <w:ind w:left="56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0826F40">
      <w:start w:val="1"/>
      <w:numFmt w:val="bullet"/>
      <w:lvlText w:val="▪"/>
      <w:lvlJc w:val="left"/>
      <w:pPr>
        <w:ind w:left="64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C971519"/>
    <w:multiLevelType w:val="hybridMultilevel"/>
    <w:tmpl w:val="0C3A8860"/>
    <w:lvl w:ilvl="0" w:tplc="6D02474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6CF2CE">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1E0F166">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50CB2D8">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CC8E20">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7C1DE8">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E28BEF8">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6EAA56">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ED8380C">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2D95814"/>
    <w:multiLevelType w:val="hybridMultilevel"/>
    <w:tmpl w:val="7E6EC69C"/>
    <w:lvl w:ilvl="0" w:tplc="0B760E3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5CCF12">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541972">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4F6772A">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2E2CD8">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F4CA7F4">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E9827E6">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181542">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164860">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3E85F4D"/>
    <w:multiLevelType w:val="hybridMultilevel"/>
    <w:tmpl w:val="943EB10C"/>
    <w:lvl w:ilvl="0" w:tplc="85FA693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024770">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3B4264C">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69C44CC">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EA1ED6">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448178">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904AE44">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620904">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000490E">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DE107BC"/>
    <w:multiLevelType w:val="hybridMultilevel"/>
    <w:tmpl w:val="EB20D218"/>
    <w:lvl w:ilvl="0" w:tplc="62D600E6">
      <w:start w:val="1"/>
      <w:numFmt w:val="bullet"/>
      <w:lvlText w:val="•"/>
      <w:lvlJc w:val="left"/>
      <w:pPr>
        <w:ind w:left="4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5230DA">
      <w:start w:val="1"/>
      <w:numFmt w:val="bullet"/>
      <w:lvlText w:val="o"/>
      <w:lvlJc w:val="left"/>
      <w:pPr>
        <w:ind w:left="1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50A726C">
      <w:start w:val="1"/>
      <w:numFmt w:val="bullet"/>
      <w:lvlText w:val="▪"/>
      <w:lvlJc w:val="left"/>
      <w:pPr>
        <w:ind w:left="20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961576">
      <w:start w:val="1"/>
      <w:numFmt w:val="bullet"/>
      <w:lvlText w:val="•"/>
      <w:lvlJc w:val="left"/>
      <w:pPr>
        <w:ind w:left="2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00B72C">
      <w:start w:val="1"/>
      <w:numFmt w:val="bullet"/>
      <w:lvlText w:val="o"/>
      <w:lvlJc w:val="left"/>
      <w:pPr>
        <w:ind w:left="3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2624CF0">
      <w:start w:val="1"/>
      <w:numFmt w:val="bullet"/>
      <w:lvlText w:val="▪"/>
      <w:lvlJc w:val="left"/>
      <w:pPr>
        <w:ind w:left="42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AC2E35C">
      <w:start w:val="1"/>
      <w:numFmt w:val="bullet"/>
      <w:lvlText w:val="•"/>
      <w:lvlJc w:val="left"/>
      <w:pPr>
        <w:ind w:left="49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2A2288">
      <w:start w:val="1"/>
      <w:numFmt w:val="bullet"/>
      <w:lvlText w:val="o"/>
      <w:lvlJc w:val="left"/>
      <w:pPr>
        <w:ind w:left="56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5812A4">
      <w:start w:val="1"/>
      <w:numFmt w:val="bullet"/>
      <w:lvlText w:val="▪"/>
      <w:lvlJc w:val="left"/>
      <w:pPr>
        <w:ind w:left="64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E6A7892"/>
    <w:multiLevelType w:val="hybridMultilevel"/>
    <w:tmpl w:val="8FC04908"/>
    <w:lvl w:ilvl="0" w:tplc="1952B94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206B18">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786B78">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9EE43E">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762C18">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221ADC">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B0607BA">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508C98">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0A0F3B4">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F890C3C"/>
    <w:multiLevelType w:val="hybridMultilevel"/>
    <w:tmpl w:val="FBA6956A"/>
    <w:lvl w:ilvl="0" w:tplc="84763028">
      <w:start w:val="1"/>
      <w:numFmt w:val="bullet"/>
      <w:lvlText w:val="•"/>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EEA2D2">
      <w:start w:val="1"/>
      <w:numFmt w:val="bullet"/>
      <w:lvlText w:val="o"/>
      <w:lvlJc w:val="left"/>
      <w:pPr>
        <w:ind w:left="14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26901A">
      <w:start w:val="1"/>
      <w:numFmt w:val="bullet"/>
      <w:lvlText w:val="▪"/>
      <w:lvlJc w:val="left"/>
      <w:pPr>
        <w:ind w:left="22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E72C71E">
      <w:start w:val="1"/>
      <w:numFmt w:val="bullet"/>
      <w:lvlText w:val="•"/>
      <w:lvlJc w:val="left"/>
      <w:pPr>
        <w:ind w:left="2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AEDB6E">
      <w:start w:val="1"/>
      <w:numFmt w:val="bullet"/>
      <w:lvlText w:val="o"/>
      <w:lvlJc w:val="left"/>
      <w:pPr>
        <w:ind w:left="36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37E21F0">
      <w:start w:val="1"/>
      <w:numFmt w:val="bullet"/>
      <w:lvlText w:val="▪"/>
      <w:lvlJc w:val="left"/>
      <w:pPr>
        <w:ind w:left="43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B1E2824">
      <w:start w:val="1"/>
      <w:numFmt w:val="bullet"/>
      <w:lvlText w:val="•"/>
      <w:lvlJc w:val="left"/>
      <w:pPr>
        <w:ind w:left="5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D29CA6">
      <w:start w:val="1"/>
      <w:numFmt w:val="bullet"/>
      <w:lvlText w:val="o"/>
      <w:lvlJc w:val="left"/>
      <w:pPr>
        <w:ind w:left="58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52C80AC">
      <w:start w:val="1"/>
      <w:numFmt w:val="bullet"/>
      <w:lvlText w:val="▪"/>
      <w:lvlJc w:val="left"/>
      <w:pPr>
        <w:ind w:left="65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2"/>
  </w:num>
  <w:num w:numId="3">
    <w:abstractNumId w:val="0"/>
  </w:num>
  <w:num w:numId="4">
    <w:abstractNumId w:val="5"/>
  </w:num>
  <w:num w:numId="5">
    <w:abstractNumId w:val="9"/>
  </w:num>
  <w:num w:numId="6">
    <w:abstractNumId w:val="6"/>
  </w:num>
  <w:num w:numId="7">
    <w:abstractNumId w:val="8"/>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621"/>
    <w:rsid w:val="003B5FE5"/>
    <w:rsid w:val="003B6206"/>
    <w:rsid w:val="00432A54"/>
    <w:rsid w:val="00863E8A"/>
    <w:rsid w:val="00B31621"/>
    <w:rsid w:val="00CE3164"/>
    <w:rsid w:val="00FC6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5BD7B"/>
  <w15:docId w15:val="{DBE89B61-96DB-49E2-B7D0-D182ED96F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 w:line="248" w:lineRule="auto"/>
      <w:ind w:left="10" w:right="30" w:hanging="10"/>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3"/>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3B5FE5"/>
    <w:rPr>
      <w:color w:val="0563C1" w:themeColor="hyperlink"/>
      <w:u w:val="single"/>
    </w:rPr>
  </w:style>
  <w:style w:type="character" w:styleId="UnresolvedMention">
    <w:name w:val="Unresolved Mention"/>
    <w:basedOn w:val="DefaultParagraphFont"/>
    <w:uiPriority w:val="99"/>
    <w:semiHidden/>
    <w:unhideWhenUsed/>
    <w:rsid w:val="003B5F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an.grayson@kenton.newcastle.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11</Pages>
  <Words>2737</Words>
  <Characters>15604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cp:lastModifiedBy>Grayson, Ian</cp:lastModifiedBy>
  <cp:revision>3</cp:revision>
  <dcterms:created xsi:type="dcterms:W3CDTF">2021-09-15T08:53:00Z</dcterms:created>
  <dcterms:modified xsi:type="dcterms:W3CDTF">2021-09-15T09:12:00Z</dcterms:modified>
</cp:coreProperties>
</file>