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3FA" w:rsidRPr="00541CAC" w:rsidRDefault="009673FA" w:rsidP="00221563">
      <w:pPr>
        <w:pStyle w:val="NormalWeb"/>
        <w:rPr>
          <w:rFonts w:ascii="Century Gothic" w:hAnsi="Century Gothic" w:cs="Calibri"/>
          <w:color w:val="000000"/>
          <w:sz w:val="19"/>
          <w:szCs w:val="19"/>
        </w:rPr>
      </w:pPr>
    </w:p>
    <w:p w:rsidR="004162D3" w:rsidRPr="000E6F58" w:rsidRDefault="004162D3" w:rsidP="004162D3">
      <w:pPr>
        <w:rPr>
          <w:rFonts w:ascii="Arial" w:hAnsi="Arial" w:cs="Arial"/>
        </w:rPr>
      </w:pPr>
      <w:r w:rsidRPr="000E6F58">
        <w:rPr>
          <w:rFonts w:ascii="Arial" w:hAnsi="Arial" w:cs="Arial"/>
        </w:rPr>
        <w:t>Dear parents / carers,</w:t>
      </w:r>
    </w:p>
    <w:p w:rsidR="004162D3" w:rsidRPr="000E6F58" w:rsidRDefault="004162D3" w:rsidP="004162D3">
      <w:pPr>
        <w:rPr>
          <w:rFonts w:ascii="Arial" w:hAnsi="Arial" w:cs="Arial"/>
        </w:rPr>
      </w:pPr>
      <w:r w:rsidRPr="000E6F58">
        <w:rPr>
          <w:rFonts w:ascii="Arial" w:hAnsi="Arial" w:cs="Arial"/>
        </w:rPr>
        <w:t>Thank you for your continued support in getting all pupils back into school safely over the past month. All of us are committed to providing the best education possible for your child, while securing the health and safety of our whole school community. Thank you for continuing to follow public health guidelines and encouraging your children to do the same.</w:t>
      </w:r>
    </w:p>
    <w:p w:rsidR="004162D3" w:rsidRPr="000E6F58" w:rsidRDefault="004162D3" w:rsidP="004162D3">
      <w:pPr>
        <w:rPr>
          <w:rFonts w:ascii="Arial" w:hAnsi="Arial" w:cs="Arial"/>
        </w:rPr>
      </w:pPr>
      <w:r w:rsidRPr="000E6F58">
        <w:rPr>
          <w:rFonts w:ascii="Arial" w:hAnsi="Arial" w:cs="Arial"/>
        </w:rPr>
        <w:t>You are already aware of the steps we have put in place to ensure the safe return of all pupils to school. We know that you will be keen to understand the impact that we have had in our first weeks of the term, and what our plans are to ensure all pupils catch up with any missed learning, and what will happen if a pupil or pupil is asked to stay at home over the coming months.</w:t>
      </w:r>
    </w:p>
    <w:p w:rsidR="004162D3" w:rsidRPr="000E6F58" w:rsidRDefault="004162D3" w:rsidP="004162D3">
      <w:pPr>
        <w:rPr>
          <w:rFonts w:ascii="Arial" w:hAnsi="Arial" w:cs="Arial"/>
        </w:rPr>
      </w:pPr>
      <w:r w:rsidRPr="000E6F58">
        <w:rPr>
          <w:rFonts w:ascii="Arial" w:hAnsi="Arial" w:cs="Arial"/>
        </w:rPr>
        <w:t>That is why I am writing to you today in order to keep you fully informed. This letter will also be published openly on our website and is being sent to our governors / trustees.</w:t>
      </w:r>
    </w:p>
    <w:tbl>
      <w:tblPr>
        <w:tblStyle w:val="TableGrid"/>
        <w:tblW w:w="0" w:type="auto"/>
        <w:tblLook w:val="04A0" w:firstRow="1" w:lastRow="0" w:firstColumn="1" w:lastColumn="0" w:noHBand="0" w:noVBand="1"/>
      </w:tblPr>
      <w:tblGrid>
        <w:gridCol w:w="4508"/>
        <w:gridCol w:w="6402"/>
      </w:tblGrid>
      <w:tr w:rsidR="004162D3" w:rsidRPr="00620415" w:rsidTr="004162D3">
        <w:tc>
          <w:tcPr>
            <w:tcW w:w="4508" w:type="dxa"/>
          </w:tcPr>
          <w:p w:rsidR="004162D3" w:rsidRPr="00620415" w:rsidRDefault="004162D3" w:rsidP="00BF6911">
            <w:pPr>
              <w:spacing w:before="100" w:beforeAutospacing="1" w:after="100" w:afterAutospacing="1"/>
              <w:rPr>
                <w:rFonts w:cstheme="minorHAnsi"/>
                <w:b/>
                <w:bCs/>
              </w:rPr>
            </w:pPr>
            <w:r w:rsidRPr="00620415">
              <w:rPr>
                <w:rFonts w:cstheme="minorHAnsi"/>
                <w:b/>
                <w:bCs/>
              </w:rPr>
              <w:t xml:space="preserve">School </w:t>
            </w:r>
            <w:proofErr w:type="spellStart"/>
            <w:r w:rsidRPr="00620415">
              <w:rPr>
                <w:rFonts w:cstheme="minorHAnsi"/>
                <w:b/>
                <w:bCs/>
              </w:rPr>
              <w:t>reopenings</w:t>
            </w:r>
            <w:proofErr w:type="spellEnd"/>
          </w:p>
        </w:tc>
        <w:tc>
          <w:tcPr>
            <w:tcW w:w="6402" w:type="dxa"/>
          </w:tcPr>
          <w:p w:rsidR="004162D3" w:rsidRPr="00620415" w:rsidRDefault="004162D3" w:rsidP="00BF6911">
            <w:pPr>
              <w:spacing w:before="100" w:beforeAutospacing="1" w:after="100" w:afterAutospacing="1"/>
              <w:rPr>
                <w:rFonts w:cstheme="minorHAnsi"/>
                <w:i/>
                <w:iCs/>
              </w:rPr>
            </w:pPr>
            <w:r w:rsidRPr="00620415">
              <w:rPr>
                <w:rFonts w:cstheme="minorHAnsi"/>
                <w:color w:val="000000"/>
              </w:rPr>
              <w:t>We are pleased to say that our extensive risk assessments and re-rooming of classes to create bubbles has meant that Kenton School has been able to fully open to students at the start of the academic year.</w:t>
            </w:r>
          </w:p>
        </w:tc>
      </w:tr>
      <w:tr w:rsidR="004162D3" w:rsidRPr="00620415" w:rsidTr="004162D3">
        <w:tc>
          <w:tcPr>
            <w:tcW w:w="4508" w:type="dxa"/>
          </w:tcPr>
          <w:p w:rsidR="004162D3" w:rsidRDefault="004162D3" w:rsidP="00BF6911">
            <w:pPr>
              <w:spacing w:before="100" w:beforeAutospacing="1" w:after="100" w:afterAutospacing="1"/>
              <w:rPr>
                <w:rFonts w:cstheme="minorHAnsi"/>
                <w:bCs/>
              </w:rPr>
            </w:pPr>
            <w:r w:rsidRPr="00620415">
              <w:rPr>
                <w:rFonts w:cstheme="minorHAnsi"/>
                <w:b/>
                <w:bCs/>
              </w:rPr>
              <w:t>Attendance</w:t>
            </w:r>
          </w:p>
          <w:p w:rsidR="004162D3" w:rsidRPr="00CE2506" w:rsidRDefault="004162D3" w:rsidP="00BF6911">
            <w:pPr>
              <w:spacing w:before="100" w:beforeAutospacing="1" w:after="100" w:afterAutospacing="1"/>
              <w:rPr>
                <w:rFonts w:cstheme="minorHAnsi"/>
                <w:bCs/>
              </w:rPr>
            </w:pPr>
          </w:p>
        </w:tc>
        <w:tc>
          <w:tcPr>
            <w:tcW w:w="6402" w:type="dxa"/>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1"/>
              <w:gridCol w:w="900"/>
            </w:tblGrid>
            <w:tr w:rsidR="004162D3" w:rsidRPr="00B67E9A" w:rsidTr="00BF6911">
              <w:tc>
                <w:tcPr>
                  <w:tcW w:w="801" w:type="dxa"/>
                  <w:tcBorders>
                    <w:top w:val="single" w:sz="6" w:space="0" w:color="000000"/>
                    <w:right w:val="single" w:sz="6" w:space="0" w:color="000000"/>
                  </w:tcBorders>
                  <w:vAlign w:val="center"/>
                  <w:hideMark/>
                </w:tcPr>
                <w:p w:rsidR="004162D3" w:rsidRPr="00B67E9A" w:rsidRDefault="004162D3" w:rsidP="00BF6911">
                  <w:pPr>
                    <w:spacing w:after="0" w:line="240" w:lineRule="auto"/>
                    <w:ind w:firstLine="40"/>
                    <w:jc w:val="center"/>
                    <w:rPr>
                      <w:rFonts w:ascii="Arial" w:eastAsia="Times New Roman" w:hAnsi="Arial" w:cs="Arial"/>
                      <w:color w:val="000000"/>
                      <w:sz w:val="18"/>
                      <w:szCs w:val="18"/>
                      <w:lang w:eastAsia="en-GB"/>
                    </w:rPr>
                  </w:pPr>
                  <w:r w:rsidRPr="00B67E9A">
                    <w:rPr>
                      <w:rFonts w:ascii="Arial" w:eastAsia="Times New Roman" w:hAnsi="Arial" w:cs="Arial"/>
                      <w:b/>
                      <w:bCs/>
                      <w:color w:val="000000"/>
                      <w:sz w:val="18"/>
                      <w:szCs w:val="18"/>
                      <w:lang w:eastAsia="en-GB"/>
                    </w:rPr>
                    <w:t>Group</w:t>
                  </w:r>
                  <w:r w:rsidRPr="00B67E9A">
                    <w:rPr>
                      <w:rFonts w:ascii="Arial" w:eastAsia="Times New Roman" w:hAnsi="Arial" w:cs="Arial"/>
                      <w:color w:val="000000"/>
                      <w:sz w:val="18"/>
                      <w:szCs w:val="18"/>
                      <w:lang w:eastAsia="en-GB"/>
                    </w:rPr>
                    <w:t xml:space="preserve"> </w:t>
                  </w:r>
                </w:p>
              </w:tc>
              <w:tc>
                <w:tcPr>
                  <w:tcW w:w="900" w:type="dxa"/>
                  <w:tcBorders>
                    <w:top w:val="single" w:sz="6" w:space="0" w:color="000000"/>
                    <w:right w:val="single" w:sz="6" w:space="0" w:color="000000"/>
                  </w:tcBorders>
                  <w:vAlign w:val="center"/>
                  <w:hideMark/>
                </w:tcPr>
                <w:p w:rsidR="004162D3" w:rsidRPr="00B67E9A" w:rsidRDefault="004162D3" w:rsidP="00BF6911">
                  <w:pPr>
                    <w:spacing w:after="0" w:line="240" w:lineRule="auto"/>
                    <w:ind w:firstLine="40"/>
                    <w:jc w:val="center"/>
                    <w:rPr>
                      <w:rFonts w:ascii="Arial" w:eastAsia="Times New Roman" w:hAnsi="Arial" w:cs="Arial"/>
                      <w:color w:val="000000"/>
                      <w:sz w:val="18"/>
                      <w:szCs w:val="18"/>
                      <w:lang w:eastAsia="en-GB"/>
                    </w:rPr>
                  </w:pPr>
                  <w:r w:rsidRPr="00B67E9A">
                    <w:rPr>
                      <w:rFonts w:ascii="Arial" w:eastAsia="Times New Roman" w:hAnsi="Arial" w:cs="Arial"/>
                      <w:b/>
                      <w:bCs/>
                      <w:color w:val="000000"/>
                      <w:sz w:val="18"/>
                      <w:szCs w:val="18"/>
                      <w:lang w:eastAsia="en-GB"/>
                    </w:rPr>
                    <w:t>% Attend</w:t>
                  </w:r>
                  <w:r w:rsidRPr="00B67E9A">
                    <w:rPr>
                      <w:rFonts w:ascii="Arial" w:eastAsia="Times New Roman" w:hAnsi="Arial" w:cs="Arial"/>
                      <w:color w:val="000000"/>
                      <w:sz w:val="18"/>
                      <w:szCs w:val="18"/>
                      <w:lang w:eastAsia="en-GB"/>
                    </w:rPr>
                    <w:t xml:space="preserve"> </w:t>
                  </w:r>
                </w:p>
              </w:tc>
            </w:tr>
            <w:tr w:rsidR="004162D3" w:rsidRPr="00B67E9A" w:rsidTr="00BF6911">
              <w:tc>
                <w:tcPr>
                  <w:tcW w:w="801" w:type="dxa"/>
                  <w:tcBorders>
                    <w:top w:val="single" w:sz="6" w:space="0" w:color="000000"/>
                    <w:right w:val="single" w:sz="6" w:space="0" w:color="000000"/>
                  </w:tcBorders>
                  <w:vAlign w:val="center"/>
                  <w:hideMark/>
                </w:tcPr>
                <w:p w:rsidR="004162D3" w:rsidRPr="00B67E9A" w:rsidRDefault="004162D3" w:rsidP="00BF6911">
                  <w:pPr>
                    <w:spacing w:after="0" w:line="240" w:lineRule="auto"/>
                    <w:ind w:firstLine="40"/>
                    <w:rPr>
                      <w:rFonts w:ascii="Arial" w:eastAsia="Times New Roman" w:hAnsi="Arial" w:cs="Arial"/>
                      <w:color w:val="000000"/>
                      <w:sz w:val="18"/>
                      <w:szCs w:val="18"/>
                      <w:lang w:eastAsia="en-GB"/>
                    </w:rPr>
                  </w:pPr>
                  <w:r w:rsidRPr="00B67E9A">
                    <w:rPr>
                      <w:rFonts w:ascii="Arial" w:eastAsia="Times New Roman" w:hAnsi="Arial" w:cs="Arial"/>
                      <w:color w:val="000000"/>
                      <w:sz w:val="18"/>
                      <w:szCs w:val="18"/>
                      <w:lang w:eastAsia="en-GB"/>
                    </w:rPr>
                    <w:t>Year 7</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4162D3" w:rsidRPr="00B67E9A" w:rsidRDefault="004162D3" w:rsidP="00BF6911">
                  <w:pPr>
                    <w:spacing w:after="0" w:line="240" w:lineRule="auto"/>
                    <w:ind w:firstLine="40"/>
                    <w:jc w:val="right"/>
                    <w:rPr>
                      <w:rFonts w:ascii="Arial" w:eastAsia="Times New Roman" w:hAnsi="Arial" w:cs="Arial"/>
                      <w:color w:val="000000"/>
                      <w:sz w:val="18"/>
                      <w:szCs w:val="18"/>
                      <w:lang w:eastAsia="en-GB"/>
                    </w:rPr>
                  </w:pPr>
                  <w:r w:rsidRPr="00B67E9A">
                    <w:rPr>
                      <w:rFonts w:ascii="Arial" w:eastAsia="Times New Roman" w:hAnsi="Arial" w:cs="Arial"/>
                      <w:color w:val="000000"/>
                      <w:sz w:val="18"/>
                      <w:szCs w:val="18"/>
                      <w:lang w:eastAsia="en-GB"/>
                    </w:rPr>
                    <w:t>93.9</w:t>
                  </w:r>
                </w:p>
              </w:tc>
            </w:tr>
            <w:tr w:rsidR="004162D3" w:rsidRPr="00B67E9A" w:rsidTr="00BF6911">
              <w:tc>
                <w:tcPr>
                  <w:tcW w:w="801" w:type="dxa"/>
                  <w:tcBorders>
                    <w:top w:val="single" w:sz="6" w:space="0" w:color="000000"/>
                    <w:right w:val="single" w:sz="6" w:space="0" w:color="000000"/>
                  </w:tcBorders>
                  <w:vAlign w:val="center"/>
                  <w:hideMark/>
                </w:tcPr>
                <w:p w:rsidR="004162D3" w:rsidRPr="00B67E9A" w:rsidRDefault="004162D3" w:rsidP="00BF6911">
                  <w:pPr>
                    <w:spacing w:after="0" w:line="240" w:lineRule="auto"/>
                    <w:ind w:firstLine="40"/>
                    <w:rPr>
                      <w:rFonts w:ascii="Arial" w:eastAsia="Times New Roman" w:hAnsi="Arial" w:cs="Arial"/>
                      <w:color w:val="000000"/>
                      <w:sz w:val="18"/>
                      <w:szCs w:val="18"/>
                      <w:lang w:eastAsia="en-GB"/>
                    </w:rPr>
                  </w:pPr>
                  <w:r w:rsidRPr="00B67E9A">
                    <w:rPr>
                      <w:rFonts w:ascii="Arial" w:eastAsia="Times New Roman" w:hAnsi="Arial" w:cs="Arial"/>
                      <w:color w:val="000000"/>
                      <w:sz w:val="18"/>
                      <w:szCs w:val="18"/>
                      <w:lang w:eastAsia="en-GB"/>
                    </w:rPr>
                    <w:t>Year 8</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4162D3" w:rsidRPr="00B67E9A" w:rsidRDefault="004162D3" w:rsidP="00BF6911">
                  <w:pPr>
                    <w:spacing w:after="0" w:line="240" w:lineRule="auto"/>
                    <w:ind w:firstLine="40"/>
                    <w:jc w:val="right"/>
                    <w:rPr>
                      <w:rFonts w:ascii="Arial" w:eastAsia="Times New Roman" w:hAnsi="Arial" w:cs="Arial"/>
                      <w:color w:val="000000"/>
                      <w:sz w:val="18"/>
                      <w:szCs w:val="18"/>
                      <w:lang w:eastAsia="en-GB"/>
                    </w:rPr>
                  </w:pPr>
                  <w:r w:rsidRPr="00B67E9A">
                    <w:rPr>
                      <w:rFonts w:ascii="Arial" w:eastAsia="Times New Roman" w:hAnsi="Arial" w:cs="Arial"/>
                      <w:color w:val="000000"/>
                      <w:sz w:val="18"/>
                      <w:szCs w:val="18"/>
                      <w:lang w:eastAsia="en-GB"/>
                    </w:rPr>
                    <w:t>92.5</w:t>
                  </w:r>
                </w:p>
              </w:tc>
            </w:tr>
            <w:tr w:rsidR="004162D3" w:rsidRPr="00B67E9A" w:rsidTr="00BF6911">
              <w:tc>
                <w:tcPr>
                  <w:tcW w:w="801" w:type="dxa"/>
                  <w:tcBorders>
                    <w:top w:val="single" w:sz="6" w:space="0" w:color="000000"/>
                    <w:right w:val="single" w:sz="6" w:space="0" w:color="000000"/>
                  </w:tcBorders>
                  <w:vAlign w:val="center"/>
                  <w:hideMark/>
                </w:tcPr>
                <w:p w:rsidR="004162D3" w:rsidRPr="00B67E9A" w:rsidRDefault="004162D3" w:rsidP="00BF6911">
                  <w:pPr>
                    <w:spacing w:after="0" w:line="240" w:lineRule="auto"/>
                    <w:ind w:firstLine="40"/>
                    <w:rPr>
                      <w:rFonts w:ascii="Arial" w:eastAsia="Times New Roman" w:hAnsi="Arial" w:cs="Arial"/>
                      <w:color w:val="000000"/>
                      <w:sz w:val="18"/>
                      <w:szCs w:val="18"/>
                      <w:lang w:eastAsia="en-GB"/>
                    </w:rPr>
                  </w:pPr>
                  <w:r w:rsidRPr="00B67E9A">
                    <w:rPr>
                      <w:rFonts w:ascii="Arial" w:eastAsia="Times New Roman" w:hAnsi="Arial" w:cs="Arial"/>
                      <w:color w:val="000000"/>
                      <w:sz w:val="18"/>
                      <w:szCs w:val="18"/>
                      <w:lang w:eastAsia="en-GB"/>
                    </w:rPr>
                    <w:t>Year 9</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4162D3" w:rsidRPr="00B67E9A" w:rsidRDefault="004162D3" w:rsidP="00BF6911">
                  <w:pPr>
                    <w:spacing w:after="0" w:line="240" w:lineRule="auto"/>
                    <w:ind w:firstLine="40"/>
                    <w:jc w:val="right"/>
                    <w:rPr>
                      <w:rFonts w:ascii="Arial" w:eastAsia="Times New Roman" w:hAnsi="Arial" w:cs="Arial"/>
                      <w:color w:val="000000"/>
                      <w:sz w:val="18"/>
                      <w:szCs w:val="18"/>
                      <w:lang w:eastAsia="en-GB"/>
                    </w:rPr>
                  </w:pPr>
                  <w:r w:rsidRPr="00B67E9A">
                    <w:rPr>
                      <w:rFonts w:ascii="Arial" w:eastAsia="Times New Roman" w:hAnsi="Arial" w:cs="Arial"/>
                      <w:color w:val="000000"/>
                      <w:sz w:val="18"/>
                      <w:szCs w:val="18"/>
                      <w:lang w:eastAsia="en-GB"/>
                    </w:rPr>
                    <w:t>89.3</w:t>
                  </w:r>
                </w:p>
              </w:tc>
            </w:tr>
            <w:tr w:rsidR="004162D3" w:rsidRPr="00B67E9A" w:rsidTr="00BF6911">
              <w:tc>
                <w:tcPr>
                  <w:tcW w:w="801" w:type="dxa"/>
                  <w:tcBorders>
                    <w:top w:val="single" w:sz="6" w:space="0" w:color="000000"/>
                    <w:right w:val="single" w:sz="6" w:space="0" w:color="000000"/>
                  </w:tcBorders>
                  <w:vAlign w:val="center"/>
                  <w:hideMark/>
                </w:tcPr>
                <w:p w:rsidR="004162D3" w:rsidRPr="00B67E9A" w:rsidRDefault="004162D3" w:rsidP="00BF6911">
                  <w:pPr>
                    <w:spacing w:after="0" w:line="240" w:lineRule="auto"/>
                    <w:ind w:firstLine="40"/>
                    <w:rPr>
                      <w:rFonts w:ascii="Arial" w:eastAsia="Times New Roman" w:hAnsi="Arial" w:cs="Arial"/>
                      <w:color w:val="000000"/>
                      <w:sz w:val="18"/>
                      <w:szCs w:val="18"/>
                      <w:lang w:eastAsia="en-GB"/>
                    </w:rPr>
                  </w:pPr>
                  <w:r w:rsidRPr="00B67E9A">
                    <w:rPr>
                      <w:rFonts w:ascii="Arial" w:eastAsia="Times New Roman" w:hAnsi="Arial" w:cs="Arial"/>
                      <w:color w:val="000000"/>
                      <w:sz w:val="18"/>
                      <w:szCs w:val="18"/>
                      <w:lang w:eastAsia="en-GB"/>
                    </w:rPr>
                    <w:t>Year 10</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4162D3" w:rsidRPr="00B67E9A" w:rsidRDefault="004162D3" w:rsidP="00BF6911">
                  <w:pPr>
                    <w:spacing w:after="0" w:line="240" w:lineRule="auto"/>
                    <w:ind w:firstLine="40"/>
                    <w:jc w:val="right"/>
                    <w:rPr>
                      <w:rFonts w:ascii="Arial" w:eastAsia="Times New Roman" w:hAnsi="Arial" w:cs="Arial"/>
                      <w:color w:val="000000"/>
                      <w:sz w:val="18"/>
                      <w:szCs w:val="18"/>
                      <w:lang w:eastAsia="en-GB"/>
                    </w:rPr>
                  </w:pPr>
                  <w:r w:rsidRPr="00B67E9A">
                    <w:rPr>
                      <w:rFonts w:ascii="Arial" w:eastAsia="Times New Roman" w:hAnsi="Arial" w:cs="Arial"/>
                      <w:color w:val="000000"/>
                      <w:sz w:val="18"/>
                      <w:szCs w:val="18"/>
                      <w:lang w:eastAsia="en-GB"/>
                    </w:rPr>
                    <w:t>92.3</w:t>
                  </w:r>
                </w:p>
              </w:tc>
            </w:tr>
            <w:tr w:rsidR="004162D3" w:rsidRPr="00B67E9A" w:rsidTr="00BF6911">
              <w:tc>
                <w:tcPr>
                  <w:tcW w:w="801" w:type="dxa"/>
                  <w:tcBorders>
                    <w:top w:val="single" w:sz="6" w:space="0" w:color="000000"/>
                    <w:right w:val="single" w:sz="6" w:space="0" w:color="000000"/>
                  </w:tcBorders>
                  <w:vAlign w:val="center"/>
                  <w:hideMark/>
                </w:tcPr>
                <w:p w:rsidR="004162D3" w:rsidRPr="00B67E9A" w:rsidRDefault="004162D3" w:rsidP="00BF6911">
                  <w:pPr>
                    <w:spacing w:after="0" w:line="240" w:lineRule="auto"/>
                    <w:ind w:firstLine="40"/>
                    <w:rPr>
                      <w:rFonts w:ascii="Arial" w:eastAsia="Times New Roman" w:hAnsi="Arial" w:cs="Arial"/>
                      <w:color w:val="000000"/>
                      <w:sz w:val="18"/>
                      <w:szCs w:val="18"/>
                      <w:lang w:eastAsia="en-GB"/>
                    </w:rPr>
                  </w:pPr>
                  <w:r w:rsidRPr="00B67E9A">
                    <w:rPr>
                      <w:rFonts w:ascii="Arial" w:eastAsia="Times New Roman" w:hAnsi="Arial" w:cs="Arial"/>
                      <w:color w:val="000000"/>
                      <w:sz w:val="18"/>
                      <w:szCs w:val="18"/>
                      <w:lang w:eastAsia="en-GB"/>
                    </w:rPr>
                    <w:t>Year 11</w:t>
                  </w:r>
                </w:p>
              </w:tc>
              <w:tc>
                <w:tcPr>
                  <w:tcW w:w="0" w:type="auto"/>
                  <w:tcBorders>
                    <w:top w:val="single" w:sz="6" w:space="0" w:color="000000"/>
                    <w:right w:val="single" w:sz="6" w:space="0" w:color="000000"/>
                  </w:tcBorders>
                  <w:tcMar>
                    <w:top w:w="15" w:type="dxa"/>
                    <w:left w:w="15" w:type="dxa"/>
                    <w:bottom w:w="15" w:type="dxa"/>
                    <w:right w:w="30" w:type="dxa"/>
                  </w:tcMar>
                  <w:vAlign w:val="center"/>
                  <w:hideMark/>
                </w:tcPr>
                <w:p w:rsidR="004162D3" w:rsidRPr="00B67E9A" w:rsidRDefault="004162D3" w:rsidP="00BF6911">
                  <w:pPr>
                    <w:spacing w:after="0" w:line="240" w:lineRule="auto"/>
                    <w:ind w:firstLine="40"/>
                    <w:jc w:val="right"/>
                    <w:rPr>
                      <w:rFonts w:ascii="Arial" w:eastAsia="Times New Roman" w:hAnsi="Arial" w:cs="Arial"/>
                      <w:color w:val="000000"/>
                      <w:sz w:val="18"/>
                      <w:szCs w:val="18"/>
                      <w:lang w:eastAsia="en-GB"/>
                    </w:rPr>
                  </w:pPr>
                  <w:r w:rsidRPr="00B67E9A">
                    <w:rPr>
                      <w:rFonts w:ascii="Arial" w:eastAsia="Times New Roman" w:hAnsi="Arial" w:cs="Arial"/>
                      <w:color w:val="000000"/>
                      <w:sz w:val="18"/>
                      <w:szCs w:val="18"/>
                      <w:lang w:eastAsia="en-GB"/>
                    </w:rPr>
                    <w:t>92.1</w:t>
                  </w:r>
                </w:p>
              </w:tc>
            </w:tr>
          </w:tbl>
          <w:p w:rsidR="004162D3" w:rsidRPr="00620415" w:rsidRDefault="004162D3" w:rsidP="00DC6958">
            <w:pPr>
              <w:spacing w:before="100" w:beforeAutospacing="1" w:after="100" w:afterAutospacing="1"/>
              <w:rPr>
                <w:rFonts w:cstheme="minorHAnsi"/>
                <w:i/>
                <w:iCs/>
              </w:rPr>
            </w:pPr>
            <w:r>
              <w:rPr>
                <w:rFonts w:cstheme="minorHAnsi"/>
                <w:bCs/>
              </w:rPr>
              <w:t xml:space="preserve">Attendance has remained largely consistent with the same period last year.  The % </w:t>
            </w:r>
            <w:r w:rsidR="00DC6958">
              <w:rPr>
                <w:rFonts w:cstheme="minorHAnsi"/>
                <w:bCs/>
              </w:rPr>
              <w:t xml:space="preserve">attendance </w:t>
            </w:r>
            <w:r>
              <w:rPr>
                <w:rFonts w:cstheme="minorHAnsi"/>
                <w:bCs/>
              </w:rPr>
              <w:t>of pupils with a SEND is around 4% lower than during the same period last year which suggests pupils with a SEND are experiencing more a</w:t>
            </w:r>
            <w:bookmarkStart w:id="0" w:name="_GoBack"/>
            <w:bookmarkEnd w:id="0"/>
            <w:r>
              <w:rPr>
                <w:rFonts w:cstheme="minorHAnsi"/>
                <w:bCs/>
              </w:rPr>
              <w:t>nxiety about returning.  The school’s attendance team continue to operate as normal with risk assessed home visits but the local authority has taken the decision not to pursue any legal monitoring at this time which is a disappointment to the school as we are certain there are families that legitimately fall under the legal monitoring umbrella.</w:t>
            </w:r>
          </w:p>
        </w:tc>
      </w:tr>
      <w:tr w:rsidR="004162D3" w:rsidRPr="00620415" w:rsidTr="004162D3">
        <w:tc>
          <w:tcPr>
            <w:tcW w:w="4508" w:type="dxa"/>
          </w:tcPr>
          <w:p w:rsidR="004162D3" w:rsidRPr="00620415" w:rsidRDefault="004162D3" w:rsidP="00BF6911">
            <w:pPr>
              <w:spacing w:before="100" w:beforeAutospacing="1" w:after="100" w:afterAutospacing="1"/>
              <w:rPr>
                <w:rFonts w:cstheme="minorHAnsi"/>
                <w:b/>
                <w:bCs/>
              </w:rPr>
            </w:pPr>
            <w:r w:rsidRPr="00620415">
              <w:rPr>
                <w:rFonts w:cstheme="minorHAnsi"/>
                <w:b/>
                <w:bCs/>
              </w:rPr>
              <w:t>Coverage of the curriculum</w:t>
            </w:r>
          </w:p>
        </w:tc>
        <w:tc>
          <w:tcPr>
            <w:tcW w:w="6402" w:type="dxa"/>
          </w:tcPr>
          <w:p w:rsidR="004162D3" w:rsidRPr="00620415" w:rsidRDefault="004162D3" w:rsidP="00BF6911">
            <w:pPr>
              <w:pStyle w:val="NormalWeb"/>
              <w:rPr>
                <w:rFonts w:asciiTheme="minorHAnsi" w:hAnsiTheme="minorHAnsi" w:cstheme="minorHAnsi"/>
                <w:color w:val="000000"/>
                <w:sz w:val="22"/>
                <w:szCs w:val="22"/>
              </w:rPr>
            </w:pPr>
            <w:r w:rsidRPr="00620415">
              <w:rPr>
                <w:rFonts w:asciiTheme="minorHAnsi" w:hAnsiTheme="minorHAnsi" w:cstheme="minorHAnsi"/>
                <w:color w:val="000000"/>
                <w:sz w:val="22"/>
                <w:szCs w:val="22"/>
              </w:rPr>
              <w:t>We are very clear that we will not be narrowing our curriculum because of the closure during lockdown. Teachers are using informal assessments and activities at the start of lessons to map out what lockdown learning has been secured and what is yet to be mastered. There may be adaptations to the existing schemes of work to ensure that foundational knowledge is secured before new learning is undertaken. Later in the year all students will be moving forward with the normal timelines for learning.</w:t>
            </w:r>
          </w:p>
          <w:p w:rsidR="004162D3" w:rsidRPr="00620415" w:rsidRDefault="004162D3" w:rsidP="004162D3">
            <w:pPr>
              <w:pStyle w:val="NormalWeb"/>
              <w:rPr>
                <w:rFonts w:cstheme="minorHAnsi"/>
                <w:i/>
                <w:iCs/>
              </w:rPr>
            </w:pPr>
            <w:r w:rsidRPr="00620415">
              <w:rPr>
                <w:rFonts w:asciiTheme="minorHAnsi" w:hAnsiTheme="minorHAnsi" w:cstheme="minorHAnsi"/>
                <w:color w:val="000000"/>
                <w:sz w:val="22"/>
                <w:szCs w:val="22"/>
              </w:rPr>
              <w:t xml:space="preserve">In Years 11 and 13 we are working closely with exam boards to ensure that our students are best prepared for the examinations in </w:t>
            </w:r>
            <w:r w:rsidRPr="00620415">
              <w:rPr>
                <w:rFonts w:asciiTheme="minorHAnsi" w:hAnsiTheme="minorHAnsi" w:cstheme="minorHAnsi"/>
                <w:color w:val="000000"/>
                <w:sz w:val="22"/>
                <w:szCs w:val="22"/>
              </w:rPr>
              <w:lastRenderedPageBreak/>
              <w:t>the summer. We will explain very clearly to students what changes are being made to assessment for qualifications being awarded this year. Later this term we will be ensuring our students are well equipped for independent learning by starting to teach the Kenton Revision Methods to Year 11. These will be a small group of techniques that research says are the most effective ways to revise.</w:t>
            </w:r>
          </w:p>
        </w:tc>
      </w:tr>
      <w:tr w:rsidR="004162D3" w:rsidRPr="00620415" w:rsidTr="004162D3">
        <w:tc>
          <w:tcPr>
            <w:tcW w:w="4508" w:type="dxa"/>
          </w:tcPr>
          <w:p w:rsidR="004162D3" w:rsidRPr="00620415" w:rsidRDefault="004162D3" w:rsidP="00BF6911">
            <w:pPr>
              <w:spacing w:before="100" w:beforeAutospacing="1" w:after="100" w:afterAutospacing="1"/>
              <w:rPr>
                <w:rFonts w:cstheme="minorHAnsi"/>
                <w:b/>
                <w:bCs/>
              </w:rPr>
            </w:pPr>
            <w:r w:rsidRPr="00620415">
              <w:rPr>
                <w:rFonts w:cstheme="minorHAnsi"/>
                <w:b/>
                <w:bCs/>
              </w:rPr>
              <w:lastRenderedPageBreak/>
              <w:t>Remote learning March - July 2020</w:t>
            </w:r>
          </w:p>
        </w:tc>
        <w:tc>
          <w:tcPr>
            <w:tcW w:w="6402" w:type="dxa"/>
          </w:tcPr>
          <w:p w:rsidR="004162D3" w:rsidRPr="00620415" w:rsidRDefault="004162D3" w:rsidP="00BF6911">
            <w:pPr>
              <w:spacing w:before="100" w:beforeAutospacing="1" w:after="100" w:afterAutospacing="1"/>
              <w:rPr>
                <w:rFonts w:cstheme="minorHAnsi"/>
                <w:i/>
                <w:iCs/>
              </w:rPr>
            </w:pPr>
            <w:r w:rsidRPr="00620415">
              <w:rPr>
                <w:rFonts w:cstheme="minorHAnsi"/>
                <w:color w:val="000000"/>
              </w:rPr>
              <w:t>We were delighted with the response to lessons available on dropbox2 and GCSE Pod during closure. 98% of parents who completed our survey said their children were accessing the work. 66% felt that students were being set an appropriate amount of work, with the rest being equally split between too much and too little. Over 80% of our new Year 11 students signed up to and used GCSE Pod.</w:t>
            </w:r>
          </w:p>
        </w:tc>
      </w:tr>
      <w:tr w:rsidR="004162D3" w:rsidRPr="00620415" w:rsidTr="004162D3">
        <w:tc>
          <w:tcPr>
            <w:tcW w:w="4508" w:type="dxa"/>
          </w:tcPr>
          <w:p w:rsidR="004162D3" w:rsidRPr="00620415" w:rsidRDefault="004162D3" w:rsidP="00BF6911">
            <w:pPr>
              <w:spacing w:before="100" w:beforeAutospacing="1" w:after="100" w:afterAutospacing="1"/>
              <w:rPr>
                <w:rFonts w:cstheme="minorHAnsi"/>
                <w:b/>
                <w:bCs/>
              </w:rPr>
            </w:pPr>
            <w:r w:rsidRPr="00620415">
              <w:rPr>
                <w:rFonts w:cstheme="minorHAnsi"/>
                <w:b/>
                <w:bCs/>
              </w:rPr>
              <w:t xml:space="preserve">Remote learning in the future </w:t>
            </w:r>
          </w:p>
        </w:tc>
        <w:tc>
          <w:tcPr>
            <w:tcW w:w="6402" w:type="dxa"/>
          </w:tcPr>
          <w:p w:rsidR="004162D3" w:rsidRPr="00620415" w:rsidRDefault="004162D3" w:rsidP="00BF6911">
            <w:pPr>
              <w:spacing w:before="100" w:beforeAutospacing="1" w:after="100" w:afterAutospacing="1"/>
              <w:rPr>
                <w:rFonts w:cstheme="minorHAnsi"/>
                <w:i/>
                <w:iCs/>
              </w:rPr>
            </w:pPr>
            <w:r w:rsidRPr="00620415">
              <w:rPr>
                <w:rFonts w:cstheme="minorHAnsi"/>
                <w:color w:val="000000"/>
              </w:rPr>
              <w:t>We will very shortly be launching the Kenton Learning Zone, an area of the school website that students will be able to visit to look at the lesson resources they are using in class. These will have added videos and narration to support students not in school because of illness, or for students to use when following their normal timetable in the case of another lockdown. If the school were to be closed for more than two weeks at any time in the future these lessons would be supplemented with online quizzes to allow teachers to provide feedback on remote learning. We are currently working with the Department for Education to ensure that all students have access to computer facilities if they cannot attend school.</w:t>
            </w:r>
          </w:p>
        </w:tc>
      </w:tr>
      <w:tr w:rsidR="004162D3" w:rsidRPr="00620415" w:rsidTr="004162D3">
        <w:trPr>
          <w:trHeight w:val="3100"/>
        </w:trPr>
        <w:tc>
          <w:tcPr>
            <w:tcW w:w="4508" w:type="dxa"/>
          </w:tcPr>
          <w:p w:rsidR="004162D3" w:rsidRPr="00620415" w:rsidRDefault="004162D3" w:rsidP="00BF6911">
            <w:pPr>
              <w:spacing w:before="100" w:beforeAutospacing="1" w:after="100" w:afterAutospacing="1"/>
              <w:rPr>
                <w:rFonts w:cstheme="minorHAnsi"/>
                <w:b/>
                <w:bCs/>
              </w:rPr>
            </w:pPr>
            <w:r w:rsidRPr="00620415">
              <w:rPr>
                <w:rFonts w:cstheme="minorHAnsi"/>
                <w:b/>
                <w:bCs/>
              </w:rPr>
              <w:t xml:space="preserve">Mental health and wellbeing </w:t>
            </w:r>
          </w:p>
        </w:tc>
        <w:tc>
          <w:tcPr>
            <w:tcW w:w="6402" w:type="dxa"/>
          </w:tcPr>
          <w:p w:rsidR="0073111E" w:rsidRDefault="004162D3" w:rsidP="0073111E">
            <w:pPr>
              <w:pStyle w:val="xmsonormal"/>
              <w:shd w:val="clear" w:color="auto" w:fill="FFFFFF"/>
              <w:rPr>
                <w:rFonts w:asciiTheme="minorHAnsi" w:hAnsiTheme="minorHAnsi" w:cstheme="minorHAnsi"/>
                <w:sz w:val="22"/>
                <w:szCs w:val="22"/>
                <w:bdr w:val="none" w:sz="0" w:space="0" w:color="auto" w:frame="1"/>
              </w:rPr>
            </w:pPr>
            <w:r w:rsidRPr="00620415">
              <w:rPr>
                <w:rFonts w:asciiTheme="minorHAnsi" w:hAnsiTheme="minorHAnsi" w:cstheme="minorHAnsi"/>
                <w:sz w:val="22"/>
                <w:szCs w:val="22"/>
                <w:bdr w:val="none" w:sz="0" w:space="0" w:color="auto" w:frame="1"/>
              </w:rPr>
              <w:t>Students should speak to their F</w:t>
            </w:r>
            <w:r>
              <w:rPr>
                <w:rFonts w:asciiTheme="minorHAnsi" w:hAnsiTheme="minorHAnsi" w:cstheme="minorHAnsi"/>
                <w:sz w:val="22"/>
                <w:szCs w:val="22"/>
                <w:bdr w:val="none" w:sz="0" w:space="0" w:color="auto" w:frame="1"/>
              </w:rPr>
              <w:t xml:space="preserve">orm </w:t>
            </w:r>
            <w:r w:rsidRPr="00620415">
              <w:rPr>
                <w:rFonts w:asciiTheme="minorHAnsi" w:hAnsiTheme="minorHAnsi" w:cstheme="minorHAnsi"/>
                <w:sz w:val="22"/>
                <w:szCs w:val="22"/>
                <w:bdr w:val="none" w:sz="0" w:space="0" w:color="auto" w:frame="1"/>
              </w:rPr>
              <w:t>T</w:t>
            </w:r>
            <w:r>
              <w:rPr>
                <w:rFonts w:asciiTheme="minorHAnsi" w:hAnsiTheme="minorHAnsi" w:cstheme="minorHAnsi"/>
                <w:sz w:val="22"/>
                <w:szCs w:val="22"/>
                <w:bdr w:val="none" w:sz="0" w:space="0" w:color="auto" w:frame="1"/>
              </w:rPr>
              <w:t>utor</w:t>
            </w:r>
            <w:r w:rsidRPr="00620415">
              <w:rPr>
                <w:rFonts w:asciiTheme="minorHAnsi" w:hAnsiTheme="minorHAnsi" w:cstheme="minorHAnsi"/>
                <w:sz w:val="22"/>
                <w:szCs w:val="22"/>
                <w:bdr w:val="none" w:sz="0" w:space="0" w:color="auto" w:frame="1"/>
              </w:rPr>
              <w:t xml:space="preserve"> or Y</w:t>
            </w:r>
            <w:r>
              <w:rPr>
                <w:rFonts w:asciiTheme="minorHAnsi" w:hAnsiTheme="minorHAnsi" w:cstheme="minorHAnsi"/>
                <w:sz w:val="22"/>
                <w:szCs w:val="22"/>
                <w:bdr w:val="none" w:sz="0" w:space="0" w:color="auto" w:frame="1"/>
              </w:rPr>
              <w:t xml:space="preserve">ear </w:t>
            </w:r>
            <w:r w:rsidRPr="00620415">
              <w:rPr>
                <w:rFonts w:asciiTheme="minorHAnsi" w:hAnsiTheme="minorHAnsi" w:cstheme="minorHAnsi"/>
                <w:sz w:val="22"/>
                <w:szCs w:val="22"/>
                <w:bdr w:val="none" w:sz="0" w:space="0" w:color="auto" w:frame="1"/>
              </w:rPr>
              <w:t>L</w:t>
            </w:r>
            <w:r>
              <w:rPr>
                <w:rFonts w:asciiTheme="minorHAnsi" w:hAnsiTheme="minorHAnsi" w:cstheme="minorHAnsi"/>
                <w:sz w:val="22"/>
                <w:szCs w:val="22"/>
                <w:bdr w:val="none" w:sz="0" w:space="0" w:color="auto" w:frame="1"/>
              </w:rPr>
              <w:t>eader</w:t>
            </w:r>
            <w:r w:rsidRPr="00620415">
              <w:rPr>
                <w:rFonts w:asciiTheme="minorHAnsi" w:hAnsiTheme="minorHAnsi" w:cstheme="minorHAnsi"/>
                <w:sz w:val="22"/>
                <w:szCs w:val="22"/>
                <w:bdr w:val="none" w:sz="0" w:space="0" w:color="auto" w:frame="1"/>
              </w:rPr>
              <w:t xml:space="preserve"> in the first instance, who can signpost and refer to a range of support services such as:</w:t>
            </w:r>
          </w:p>
          <w:p w:rsidR="004162D3" w:rsidRPr="00620415" w:rsidRDefault="004162D3" w:rsidP="0073111E">
            <w:pPr>
              <w:pStyle w:val="xmsonormal"/>
              <w:numPr>
                <w:ilvl w:val="0"/>
                <w:numId w:val="15"/>
              </w:numPr>
              <w:shd w:val="clear" w:color="auto" w:fill="FFFFFF"/>
              <w:rPr>
                <w:rFonts w:asciiTheme="minorHAnsi" w:hAnsiTheme="minorHAnsi" w:cstheme="minorHAnsi"/>
                <w:sz w:val="22"/>
                <w:szCs w:val="22"/>
              </w:rPr>
            </w:pPr>
            <w:r w:rsidRPr="00620415">
              <w:rPr>
                <w:rFonts w:asciiTheme="minorHAnsi" w:hAnsiTheme="minorHAnsi" w:cstheme="minorHAnsi"/>
                <w:sz w:val="22"/>
                <w:szCs w:val="22"/>
                <w:bdr w:val="none" w:sz="0" w:space="0" w:color="auto" w:frame="1"/>
              </w:rPr>
              <w:t>Nurse</w:t>
            </w:r>
          </w:p>
          <w:p w:rsidR="004162D3" w:rsidRPr="00620415" w:rsidRDefault="004162D3" w:rsidP="004162D3">
            <w:pPr>
              <w:pStyle w:val="xmsonormal"/>
              <w:numPr>
                <w:ilvl w:val="0"/>
                <w:numId w:val="15"/>
              </w:numPr>
              <w:shd w:val="clear" w:color="auto" w:fill="FFFFFF"/>
              <w:rPr>
                <w:rFonts w:asciiTheme="minorHAnsi" w:hAnsiTheme="minorHAnsi" w:cstheme="minorHAnsi"/>
                <w:sz w:val="22"/>
                <w:szCs w:val="22"/>
              </w:rPr>
            </w:pPr>
            <w:r w:rsidRPr="00620415">
              <w:rPr>
                <w:rFonts w:asciiTheme="minorHAnsi" w:hAnsiTheme="minorHAnsi" w:cstheme="minorHAnsi"/>
                <w:sz w:val="22"/>
                <w:szCs w:val="22"/>
                <w:bdr w:val="none" w:sz="0" w:space="0" w:color="auto" w:frame="1"/>
              </w:rPr>
              <w:t>Trailblazer</w:t>
            </w:r>
          </w:p>
          <w:p w:rsidR="004162D3" w:rsidRPr="00620415" w:rsidRDefault="004162D3" w:rsidP="004162D3">
            <w:pPr>
              <w:pStyle w:val="xmsonormal"/>
              <w:numPr>
                <w:ilvl w:val="0"/>
                <w:numId w:val="15"/>
              </w:numPr>
              <w:shd w:val="clear" w:color="auto" w:fill="FFFFFF"/>
              <w:rPr>
                <w:rFonts w:asciiTheme="minorHAnsi" w:hAnsiTheme="minorHAnsi" w:cstheme="minorHAnsi"/>
                <w:sz w:val="22"/>
                <w:szCs w:val="22"/>
              </w:rPr>
            </w:pPr>
            <w:proofErr w:type="spellStart"/>
            <w:r w:rsidRPr="00620415">
              <w:rPr>
                <w:rFonts w:asciiTheme="minorHAnsi" w:hAnsiTheme="minorHAnsi" w:cstheme="minorHAnsi"/>
                <w:sz w:val="22"/>
                <w:szCs w:val="22"/>
                <w:bdr w:val="none" w:sz="0" w:space="0" w:color="auto" w:frame="1"/>
              </w:rPr>
              <w:t>Kalmer</w:t>
            </w:r>
            <w:proofErr w:type="spellEnd"/>
          </w:p>
          <w:p w:rsidR="004162D3" w:rsidRPr="00620415" w:rsidRDefault="004162D3" w:rsidP="004162D3">
            <w:pPr>
              <w:pStyle w:val="xmsonormal"/>
              <w:numPr>
                <w:ilvl w:val="0"/>
                <w:numId w:val="15"/>
              </w:numPr>
              <w:shd w:val="clear" w:color="auto" w:fill="FFFFFF"/>
              <w:rPr>
                <w:rFonts w:asciiTheme="minorHAnsi" w:hAnsiTheme="minorHAnsi" w:cstheme="minorHAnsi"/>
                <w:sz w:val="22"/>
                <w:szCs w:val="22"/>
              </w:rPr>
            </w:pPr>
            <w:r w:rsidRPr="00620415">
              <w:rPr>
                <w:rFonts w:asciiTheme="minorHAnsi" w:hAnsiTheme="minorHAnsi" w:cstheme="minorHAnsi"/>
                <w:sz w:val="22"/>
                <w:szCs w:val="22"/>
                <w:bdr w:val="none" w:sz="0" w:space="0" w:color="auto" w:frame="1"/>
              </w:rPr>
              <w:t>CYPS</w:t>
            </w:r>
          </w:p>
          <w:p w:rsidR="004162D3" w:rsidRPr="00620415" w:rsidRDefault="004162D3" w:rsidP="004162D3">
            <w:pPr>
              <w:pStyle w:val="xmsonormal"/>
              <w:numPr>
                <w:ilvl w:val="0"/>
                <w:numId w:val="15"/>
              </w:numPr>
              <w:shd w:val="clear" w:color="auto" w:fill="FFFFFF"/>
              <w:rPr>
                <w:rFonts w:asciiTheme="minorHAnsi" w:hAnsiTheme="minorHAnsi" w:cstheme="minorHAnsi"/>
                <w:sz w:val="22"/>
                <w:szCs w:val="22"/>
              </w:rPr>
            </w:pPr>
            <w:r w:rsidRPr="00620415">
              <w:rPr>
                <w:rFonts w:asciiTheme="minorHAnsi" w:hAnsiTheme="minorHAnsi" w:cstheme="minorHAnsi"/>
                <w:sz w:val="22"/>
                <w:szCs w:val="22"/>
                <w:bdr w:val="none" w:sz="0" w:space="0" w:color="auto" w:frame="1"/>
              </w:rPr>
              <w:t>Mentor</w:t>
            </w:r>
          </w:p>
          <w:p w:rsidR="004162D3" w:rsidRPr="00620415" w:rsidRDefault="004162D3" w:rsidP="004162D3">
            <w:pPr>
              <w:pStyle w:val="xmsonormal"/>
              <w:numPr>
                <w:ilvl w:val="0"/>
                <w:numId w:val="15"/>
              </w:numPr>
              <w:shd w:val="clear" w:color="auto" w:fill="FFFFFF"/>
              <w:rPr>
                <w:rFonts w:asciiTheme="minorHAnsi" w:hAnsiTheme="minorHAnsi" w:cstheme="minorHAnsi"/>
                <w:sz w:val="22"/>
                <w:szCs w:val="22"/>
              </w:rPr>
            </w:pPr>
            <w:r w:rsidRPr="00620415">
              <w:rPr>
                <w:rFonts w:asciiTheme="minorHAnsi" w:hAnsiTheme="minorHAnsi" w:cstheme="minorHAnsi"/>
                <w:sz w:val="22"/>
                <w:szCs w:val="22"/>
                <w:bdr w:val="none" w:sz="0" w:space="0" w:color="auto" w:frame="1"/>
              </w:rPr>
              <w:t>Streetwise</w:t>
            </w:r>
          </w:p>
          <w:p w:rsidR="004162D3" w:rsidRPr="00620415" w:rsidRDefault="004162D3" w:rsidP="004162D3">
            <w:pPr>
              <w:pStyle w:val="xmsonormal"/>
              <w:numPr>
                <w:ilvl w:val="0"/>
                <w:numId w:val="15"/>
              </w:numPr>
              <w:shd w:val="clear" w:color="auto" w:fill="FFFFFF"/>
              <w:rPr>
                <w:rFonts w:asciiTheme="minorHAnsi" w:hAnsiTheme="minorHAnsi" w:cstheme="minorHAnsi"/>
                <w:i/>
                <w:iCs/>
                <w:sz w:val="22"/>
                <w:szCs w:val="22"/>
              </w:rPr>
            </w:pPr>
            <w:r w:rsidRPr="00620415">
              <w:rPr>
                <w:rFonts w:asciiTheme="minorHAnsi" w:hAnsiTheme="minorHAnsi" w:cstheme="minorHAnsi"/>
                <w:sz w:val="22"/>
                <w:szCs w:val="22"/>
                <w:bdr w:val="none" w:sz="0" w:space="0" w:color="auto" w:frame="1"/>
              </w:rPr>
              <w:t>Social Care</w:t>
            </w:r>
          </w:p>
        </w:tc>
      </w:tr>
    </w:tbl>
    <w:p w:rsidR="00FB74C7" w:rsidRDefault="004162D3" w:rsidP="004162D3">
      <w:pPr>
        <w:spacing w:before="100" w:beforeAutospacing="1" w:after="100" w:afterAutospacing="1" w:line="240" w:lineRule="auto"/>
        <w:rPr>
          <w:rFonts w:ascii="Century Gothic" w:hAnsi="Century Gothic"/>
          <w:sz w:val="19"/>
          <w:szCs w:val="19"/>
        </w:rPr>
      </w:pPr>
      <w:r w:rsidRPr="00620415">
        <w:rPr>
          <w:rFonts w:cstheme="minorHAnsi"/>
        </w:rPr>
        <w:t xml:space="preserve">Thank you for your support in these challenging times. Please remember to follow both the </w:t>
      </w:r>
      <w:proofErr w:type="spellStart"/>
      <w:proofErr w:type="gramStart"/>
      <w:r w:rsidRPr="00620415">
        <w:rPr>
          <w:rFonts w:cstheme="minorHAnsi"/>
        </w:rPr>
        <w:t>school’s</w:t>
      </w:r>
      <w:proofErr w:type="spellEnd"/>
      <w:proofErr w:type="gramEnd"/>
      <w:r w:rsidRPr="00620415">
        <w:rPr>
          <w:rFonts w:cstheme="minorHAnsi"/>
        </w:rPr>
        <w:t xml:space="preserve"> and public health guidance to keep everyone learning safely.</w:t>
      </w:r>
    </w:p>
    <w:sectPr w:rsidR="00FB74C7" w:rsidSect="004574DC">
      <w:headerReference w:type="default" r:id="rId8"/>
      <w:footerReference w:type="default" r:id="rId9"/>
      <w:pgSz w:w="11906" w:h="16838"/>
      <w:pgMar w:top="284" w:right="340"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540" w:rsidRDefault="00956540">
      <w:pPr>
        <w:spacing w:after="0" w:line="240" w:lineRule="auto"/>
      </w:pPr>
      <w:r>
        <w:separator/>
      </w:r>
    </w:p>
  </w:endnote>
  <w:endnote w:type="continuationSeparator" w:id="0">
    <w:p w:rsidR="00956540" w:rsidRDefault="0095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563" w:rsidRPr="004574DC" w:rsidRDefault="00221563" w:rsidP="004574DC">
    <w:pPr>
      <w:pStyle w:val="Footer"/>
    </w:pPr>
    <w:r>
      <w:rPr>
        <w:noProof/>
        <w:lang w:eastAsia="en-GB"/>
      </w:rPr>
      <w:drawing>
        <wp:inline distT="0" distB="0" distL="0" distR="0" wp14:anchorId="2E0FD769" wp14:editId="30C7AEF6">
          <wp:extent cx="6972300" cy="1171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1715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540" w:rsidRDefault="00956540">
      <w:pPr>
        <w:spacing w:after="0" w:line="240" w:lineRule="auto"/>
      </w:pPr>
      <w:r>
        <w:separator/>
      </w:r>
    </w:p>
  </w:footnote>
  <w:footnote w:type="continuationSeparator" w:id="0">
    <w:p w:rsidR="00956540" w:rsidRDefault="0095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563" w:rsidRDefault="00221563" w:rsidP="007007C7">
    <w:pPr>
      <w:pStyle w:val="Header"/>
      <w:tabs>
        <w:tab w:val="clear" w:pos="4513"/>
        <w:tab w:val="clear" w:pos="9026"/>
        <w:tab w:val="left" w:pos="1020"/>
      </w:tabs>
    </w:pPr>
    <w:r>
      <w:tab/>
    </w:r>
    <w:r>
      <w:rPr>
        <w:noProof/>
        <w:lang w:eastAsia="en-GB"/>
      </w:rPr>
      <w:drawing>
        <wp:inline distT="0" distB="0" distL="0" distR="0" wp14:anchorId="1F6D41E0" wp14:editId="3D84E346">
          <wp:extent cx="697230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691188D"/>
    <w:multiLevelType w:val="hybridMultilevel"/>
    <w:tmpl w:val="10ECAAA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69A3492"/>
    <w:multiLevelType w:val="hybridMultilevel"/>
    <w:tmpl w:val="0FFA588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23E07670"/>
    <w:multiLevelType w:val="hybridMultilevel"/>
    <w:tmpl w:val="D9B23BF0"/>
    <w:lvl w:ilvl="0" w:tplc="4B80D1D0">
      <w:start w:val="3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852D9"/>
    <w:multiLevelType w:val="hybridMultilevel"/>
    <w:tmpl w:val="5498C8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EB258A"/>
    <w:multiLevelType w:val="hybridMultilevel"/>
    <w:tmpl w:val="6530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E451C"/>
    <w:multiLevelType w:val="hybridMultilevel"/>
    <w:tmpl w:val="0938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217A1"/>
    <w:multiLevelType w:val="hybridMultilevel"/>
    <w:tmpl w:val="5990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22C24"/>
    <w:multiLevelType w:val="hybridMultilevel"/>
    <w:tmpl w:val="3370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10448A"/>
    <w:multiLevelType w:val="hybridMultilevel"/>
    <w:tmpl w:val="6B46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523144"/>
    <w:multiLevelType w:val="hybridMultilevel"/>
    <w:tmpl w:val="78E201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B97A3B"/>
    <w:multiLevelType w:val="hybridMultilevel"/>
    <w:tmpl w:val="94168296"/>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2" w15:restartNumberingAfterBreak="0">
    <w:nsid w:val="71005E04"/>
    <w:multiLevelType w:val="hybridMultilevel"/>
    <w:tmpl w:val="9ECCA8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7B036BB8"/>
    <w:multiLevelType w:val="hybridMultilevel"/>
    <w:tmpl w:val="0A32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3E5A6A"/>
    <w:multiLevelType w:val="hybridMultilevel"/>
    <w:tmpl w:val="A77E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14"/>
  </w:num>
  <w:num w:numId="6">
    <w:abstractNumId w:val="4"/>
  </w:num>
  <w:num w:numId="7">
    <w:abstractNumId w:val="10"/>
  </w:num>
  <w:num w:numId="8">
    <w:abstractNumId w:val="5"/>
  </w:num>
  <w:num w:numId="9">
    <w:abstractNumId w:val="11"/>
  </w:num>
  <w:num w:numId="10">
    <w:abstractNumId w:val="2"/>
  </w:num>
  <w:num w:numId="11">
    <w:abstractNumId w:val="0"/>
  </w:num>
  <w:num w:numId="12">
    <w:abstractNumId w:val="1"/>
  </w:num>
  <w:num w:numId="13">
    <w:abstractNumId w:val="9"/>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89"/>
    <w:rsid w:val="00035E53"/>
    <w:rsid w:val="000372E7"/>
    <w:rsid w:val="000B238E"/>
    <w:rsid w:val="000C6194"/>
    <w:rsid w:val="000F3C80"/>
    <w:rsid w:val="000F77CC"/>
    <w:rsid w:val="00112DA6"/>
    <w:rsid w:val="00115D9F"/>
    <w:rsid w:val="001616CE"/>
    <w:rsid w:val="001B470B"/>
    <w:rsid w:val="002041F9"/>
    <w:rsid w:val="00221563"/>
    <w:rsid w:val="00253042"/>
    <w:rsid w:val="00270236"/>
    <w:rsid w:val="00274ACC"/>
    <w:rsid w:val="002A4A79"/>
    <w:rsid w:val="00310F30"/>
    <w:rsid w:val="00323473"/>
    <w:rsid w:val="00332022"/>
    <w:rsid w:val="0034682D"/>
    <w:rsid w:val="00367393"/>
    <w:rsid w:val="003676FB"/>
    <w:rsid w:val="003824EA"/>
    <w:rsid w:val="003A6C95"/>
    <w:rsid w:val="003C7450"/>
    <w:rsid w:val="003C7F46"/>
    <w:rsid w:val="003E69DB"/>
    <w:rsid w:val="004162D3"/>
    <w:rsid w:val="004574DC"/>
    <w:rsid w:val="00460AF8"/>
    <w:rsid w:val="004B7FF1"/>
    <w:rsid w:val="004E2348"/>
    <w:rsid w:val="004E7DBA"/>
    <w:rsid w:val="00507B14"/>
    <w:rsid w:val="00541CAC"/>
    <w:rsid w:val="00576FCD"/>
    <w:rsid w:val="005B7A9A"/>
    <w:rsid w:val="005E5C2F"/>
    <w:rsid w:val="00623573"/>
    <w:rsid w:val="006438C2"/>
    <w:rsid w:val="00644FD2"/>
    <w:rsid w:val="006554FC"/>
    <w:rsid w:val="0067079A"/>
    <w:rsid w:val="00670896"/>
    <w:rsid w:val="006B5E63"/>
    <w:rsid w:val="006D2C56"/>
    <w:rsid w:val="006F0543"/>
    <w:rsid w:val="007007C7"/>
    <w:rsid w:val="00707895"/>
    <w:rsid w:val="00730544"/>
    <w:rsid w:val="0073111E"/>
    <w:rsid w:val="00736CFC"/>
    <w:rsid w:val="0074244F"/>
    <w:rsid w:val="007820E1"/>
    <w:rsid w:val="00810E4A"/>
    <w:rsid w:val="00827C21"/>
    <w:rsid w:val="00834E01"/>
    <w:rsid w:val="008373F6"/>
    <w:rsid w:val="0084302E"/>
    <w:rsid w:val="008B4461"/>
    <w:rsid w:val="008D2BE2"/>
    <w:rsid w:val="009039BF"/>
    <w:rsid w:val="0091297E"/>
    <w:rsid w:val="009255D5"/>
    <w:rsid w:val="0095440E"/>
    <w:rsid w:val="00956540"/>
    <w:rsid w:val="009673FA"/>
    <w:rsid w:val="009C03CE"/>
    <w:rsid w:val="009C4F56"/>
    <w:rsid w:val="009C7B89"/>
    <w:rsid w:val="009D514D"/>
    <w:rsid w:val="009D6D94"/>
    <w:rsid w:val="00A332C8"/>
    <w:rsid w:val="00A65DF2"/>
    <w:rsid w:val="00A94F20"/>
    <w:rsid w:val="00AA0481"/>
    <w:rsid w:val="00AB6F4B"/>
    <w:rsid w:val="00B23CC6"/>
    <w:rsid w:val="00B40331"/>
    <w:rsid w:val="00B51A28"/>
    <w:rsid w:val="00B74F7B"/>
    <w:rsid w:val="00BB79C6"/>
    <w:rsid w:val="00BC478D"/>
    <w:rsid w:val="00C021A6"/>
    <w:rsid w:val="00C111CD"/>
    <w:rsid w:val="00C67235"/>
    <w:rsid w:val="00C808C2"/>
    <w:rsid w:val="00CB53C3"/>
    <w:rsid w:val="00CF76A0"/>
    <w:rsid w:val="00D17805"/>
    <w:rsid w:val="00D335E0"/>
    <w:rsid w:val="00D404DF"/>
    <w:rsid w:val="00D42231"/>
    <w:rsid w:val="00D56CF0"/>
    <w:rsid w:val="00D61BEA"/>
    <w:rsid w:val="00DC62AC"/>
    <w:rsid w:val="00DC6958"/>
    <w:rsid w:val="00E004CB"/>
    <w:rsid w:val="00E20B28"/>
    <w:rsid w:val="00E63969"/>
    <w:rsid w:val="00EA352C"/>
    <w:rsid w:val="00EB33B8"/>
    <w:rsid w:val="00EC3778"/>
    <w:rsid w:val="00EF3125"/>
    <w:rsid w:val="00F219F5"/>
    <w:rsid w:val="00F23339"/>
    <w:rsid w:val="00F26AC5"/>
    <w:rsid w:val="00F3466C"/>
    <w:rsid w:val="00F5324B"/>
    <w:rsid w:val="00F66950"/>
    <w:rsid w:val="00F7673F"/>
    <w:rsid w:val="00F8480B"/>
    <w:rsid w:val="00FA6E97"/>
    <w:rsid w:val="00FB3C60"/>
    <w:rsid w:val="00FB74C7"/>
    <w:rsid w:val="00FF6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CC0144"/>
  <w15:docId w15:val="{004DA499-DEBE-4C70-8198-73D3A7F0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customStyle="1" w:styleId="Normal1">
    <w:name w:val="Normal1"/>
    <w:basedOn w:val="Normal"/>
    <w:rsid w:val="00B23CC6"/>
    <w:pPr>
      <w:spacing w:after="192" w:line="240" w:lineRule="auto"/>
    </w:pPr>
    <w:rPr>
      <w:rFonts w:ascii="Times New Roman" w:eastAsia="Times New Roman" w:hAnsi="Times New Roman" w:cs="Times New Roman"/>
      <w:sz w:val="19"/>
      <w:szCs w:val="19"/>
      <w:lang w:eastAsia="en-GB"/>
    </w:rPr>
  </w:style>
  <w:style w:type="paragraph" w:styleId="NormalWeb">
    <w:name w:val="Normal (Web)"/>
    <w:basedOn w:val="Normal"/>
    <w:uiPriority w:val="99"/>
    <w:unhideWhenUsed/>
    <w:rsid w:val="00EF3125"/>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B51A28"/>
    <w:pPr>
      <w:spacing w:after="0" w:line="240" w:lineRule="auto"/>
    </w:pPr>
  </w:style>
  <w:style w:type="paragraph" w:customStyle="1" w:styleId="paragraph">
    <w:name w:val="paragraph"/>
    <w:basedOn w:val="Normal"/>
    <w:rsid w:val="009039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039BF"/>
  </w:style>
  <w:style w:type="character" w:customStyle="1" w:styleId="eop">
    <w:name w:val="eop"/>
    <w:basedOn w:val="DefaultParagraphFont"/>
    <w:rsid w:val="009039BF"/>
  </w:style>
  <w:style w:type="paragraph" w:customStyle="1" w:styleId="xmsonormal">
    <w:name w:val="x_msonormal"/>
    <w:basedOn w:val="Normal"/>
    <w:rsid w:val="009039B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16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358">
      <w:bodyDiv w:val="1"/>
      <w:marLeft w:val="0"/>
      <w:marRight w:val="0"/>
      <w:marTop w:val="0"/>
      <w:marBottom w:val="0"/>
      <w:divBdr>
        <w:top w:val="none" w:sz="0" w:space="0" w:color="auto"/>
        <w:left w:val="none" w:sz="0" w:space="0" w:color="auto"/>
        <w:bottom w:val="none" w:sz="0" w:space="0" w:color="auto"/>
        <w:right w:val="none" w:sz="0" w:space="0" w:color="auto"/>
      </w:divBdr>
    </w:div>
    <w:div w:id="752898724">
      <w:bodyDiv w:val="1"/>
      <w:marLeft w:val="0"/>
      <w:marRight w:val="0"/>
      <w:marTop w:val="0"/>
      <w:marBottom w:val="0"/>
      <w:divBdr>
        <w:top w:val="none" w:sz="0" w:space="0" w:color="auto"/>
        <w:left w:val="none" w:sz="0" w:space="0" w:color="auto"/>
        <w:bottom w:val="none" w:sz="0" w:space="0" w:color="auto"/>
        <w:right w:val="none" w:sz="0" w:space="0" w:color="auto"/>
      </w:divBdr>
    </w:div>
    <w:div w:id="766199302">
      <w:bodyDiv w:val="1"/>
      <w:marLeft w:val="0"/>
      <w:marRight w:val="0"/>
      <w:marTop w:val="0"/>
      <w:marBottom w:val="0"/>
      <w:divBdr>
        <w:top w:val="none" w:sz="0" w:space="0" w:color="auto"/>
        <w:left w:val="none" w:sz="0" w:space="0" w:color="auto"/>
        <w:bottom w:val="none" w:sz="0" w:space="0" w:color="auto"/>
        <w:right w:val="none" w:sz="0" w:space="0" w:color="auto"/>
      </w:divBdr>
    </w:div>
    <w:div w:id="928079390">
      <w:bodyDiv w:val="1"/>
      <w:marLeft w:val="0"/>
      <w:marRight w:val="0"/>
      <w:marTop w:val="0"/>
      <w:marBottom w:val="0"/>
      <w:divBdr>
        <w:top w:val="none" w:sz="0" w:space="0" w:color="auto"/>
        <w:left w:val="none" w:sz="0" w:space="0" w:color="auto"/>
        <w:bottom w:val="none" w:sz="0" w:space="0" w:color="auto"/>
        <w:right w:val="none" w:sz="0" w:space="0" w:color="auto"/>
      </w:divBdr>
    </w:div>
    <w:div w:id="1041438756">
      <w:bodyDiv w:val="1"/>
      <w:marLeft w:val="0"/>
      <w:marRight w:val="0"/>
      <w:marTop w:val="0"/>
      <w:marBottom w:val="0"/>
      <w:divBdr>
        <w:top w:val="none" w:sz="0" w:space="0" w:color="auto"/>
        <w:left w:val="none" w:sz="0" w:space="0" w:color="auto"/>
        <w:bottom w:val="none" w:sz="0" w:space="0" w:color="auto"/>
        <w:right w:val="none" w:sz="0" w:space="0" w:color="auto"/>
      </w:divBdr>
    </w:div>
    <w:div w:id="1182400632">
      <w:bodyDiv w:val="1"/>
      <w:marLeft w:val="0"/>
      <w:marRight w:val="0"/>
      <w:marTop w:val="0"/>
      <w:marBottom w:val="0"/>
      <w:divBdr>
        <w:top w:val="none" w:sz="0" w:space="0" w:color="auto"/>
        <w:left w:val="none" w:sz="0" w:space="0" w:color="auto"/>
        <w:bottom w:val="none" w:sz="0" w:space="0" w:color="auto"/>
        <w:right w:val="none" w:sz="0" w:space="0" w:color="auto"/>
      </w:divBdr>
      <w:divsChild>
        <w:div w:id="101195519">
          <w:marLeft w:val="0"/>
          <w:marRight w:val="0"/>
          <w:marTop w:val="0"/>
          <w:marBottom w:val="0"/>
          <w:divBdr>
            <w:top w:val="none" w:sz="0" w:space="0" w:color="auto"/>
            <w:left w:val="none" w:sz="0" w:space="0" w:color="auto"/>
            <w:bottom w:val="none" w:sz="0" w:space="0" w:color="auto"/>
            <w:right w:val="none" w:sz="0" w:space="0" w:color="auto"/>
          </w:divBdr>
        </w:div>
        <w:div w:id="786851956">
          <w:marLeft w:val="0"/>
          <w:marRight w:val="0"/>
          <w:marTop w:val="0"/>
          <w:marBottom w:val="0"/>
          <w:divBdr>
            <w:top w:val="none" w:sz="0" w:space="0" w:color="auto"/>
            <w:left w:val="none" w:sz="0" w:space="0" w:color="auto"/>
            <w:bottom w:val="none" w:sz="0" w:space="0" w:color="auto"/>
            <w:right w:val="none" w:sz="0" w:space="0" w:color="auto"/>
          </w:divBdr>
        </w:div>
        <w:div w:id="1350328155">
          <w:marLeft w:val="0"/>
          <w:marRight w:val="0"/>
          <w:marTop w:val="0"/>
          <w:marBottom w:val="0"/>
          <w:divBdr>
            <w:top w:val="none" w:sz="0" w:space="0" w:color="auto"/>
            <w:left w:val="none" w:sz="0" w:space="0" w:color="auto"/>
            <w:bottom w:val="none" w:sz="0" w:space="0" w:color="auto"/>
            <w:right w:val="none" w:sz="0" w:space="0" w:color="auto"/>
          </w:divBdr>
        </w:div>
        <w:div w:id="1561480662">
          <w:marLeft w:val="0"/>
          <w:marRight w:val="0"/>
          <w:marTop w:val="0"/>
          <w:marBottom w:val="0"/>
          <w:divBdr>
            <w:top w:val="none" w:sz="0" w:space="0" w:color="auto"/>
            <w:left w:val="none" w:sz="0" w:space="0" w:color="auto"/>
            <w:bottom w:val="none" w:sz="0" w:space="0" w:color="auto"/>
            <w:right w:val="none" w:sz="0" w:space="0" w:color="auto"/>
          </w:divBdr>
        </w:div>
        <w:div w:id="1005864301">
          <w:marLeft w:val="0"/>
          <w:marRight w:val="0"/>
          <w:marTop w:val="0"/>
          <w:marBottom w:val="0"/>
          <w:divBdr>
            <w:top w:val="none" w:sz="0" w:space="0" w:color="auto"/>
            <w:left w:val="none" w:sz="0" w:space="0" w:color="auto"/>
            <w:bottom w:val="none" w:sz="0" w:space="0" w:color="auto"/>
            <w:right w:val="none" w:sz="0" w:space="0" w:color="auto"/>
          </w:divBdr>
        </w:div>
        <w:div w:id="23674164">
          <w:marLeft w:val="0"/>
          <w:marRight w:val="0"/>
          <w:marTop w:val="0"/>
          <w:marBottom w:val="0"/>
          <w:divBdr>
            <w:top w:val="none" w:sz="0" w:space="0" w:color="auto"/>
            <w:left w:val="none" w:sz="0" w:space="0" w:color="auto"/>
            <w:bottom w:val="none" w:sz="0" w:space="0" w:color="auto"/>
            <w:right w:val="none" w:sz="0" w:space="0" w:color="auto"/>
          </w:divBdr>
        </w:div>
        <w:div w:id="326791488">
          <w:marLeft w:val="0"/>
          <w:marRight w:val="0"/>
          <w:marTop w:val="0"/>
          <w:marBottom w:val="0"/>
          <w:divBdr>
            <w:top w:val="none" w:sz="0" w:space="0" w:color="auto"/>
            <w:left w:val="none" w:sz="0" w:space="0" w:color="auto"/>
            <w:bottom w:val="none" w:sz="0" w:space="0" w:color="auto"/>
            <w:right w:val="none" w:sz="0" w:space="0" w:color="auto"/>
          </w:divBdr>
        </w:div>
        <w:div w:id="1321234139">
          <w:marLeft w:val="0"/>
          <w:marRight w:val="0"/>
          <w:marTop w:val="0"/>
          <w:marBottom w:val="0"/>
          <w:divBdr>
            <w:top w:val="none" w:sz="0" w:space="0" w:color="auto"/>
            <w:left w:val="none" w:sz="0" w:space="0" w:color="auto"/>
            <w:bottom w:val="none" w:sz="0" w:space="0" w:color="auto"/>
            <w:right w:val="none" w:sz="0" w:space="0" w:color="auto"/>
          </w:divBdr>
        </w:div>
        <w:div w:id="1834369380">
          <w:marLeft w:val="0"/>
          <w:marRight w:val="0"/>
          <w:marTop w:val="0"/>
          <w:marBottom w:val="0"/>
          <w:divBdr>
            <w:top w:val="none" w:sz="0" w:space="0" w:color="auto"/>
            <w:left w:val="none" w:sz="0" w:space="0" w:color="auto"/>
            <w:bottom w:val="none" w:sz="0" w:space="0" w:color="auto"/>
            <w:right w:val="none" w:sz="0" w:space="0" w:color="auto"/>
          </w:divBdr>
        </w:div>
        <w:div w:id="725178092">
          <w:marLeft w:val="0"/>
          <w:marRight w:val="0"/>
          <w:marTop w:val="0"/>
          <w:marBottom w:val="0"/>
          <w:divBdr>
            <w:top w:val="none" w:sz="0" w:space="0" w:color="auto"/>
            <w:left w:val="none" w:sz="0" w:space="0" w:color="auto"/>
            <w:bottom w:val="none" w:sz="0" w:space="0" w:color="auto"/>
            <w:right w:val="none" w:sz="0" w:space="0" w:color="auto"/>
          </w:divBdr>
        </w:div>
        <w:div w:id="1259294982">
          <w:marLeft w:val="0"/>
          <w:marRight w:val="0"/>
          <w:marTop w:val="0"/>
          <w:marBottom w:val="0"/>
          <w:divBdr>
            <w:top w:val="none" w:sz="0" w:space="0" w:color="auto"/>
            <w:left w:val="none" w:sz="0" w:space="0" w:color="auto"/>
            <w:bottom w:val="none" w:sz="0" w:space="0" w:color="auto"/>
            <w:right w:val="none" w:sz="0" w:space="0" w:color="auto"/>
          </w:divBdr>
        </w:div>
        <w:div w:id="1816533171">
          <w:marLeft w:val="0"/>
          <w:marRight w:val="0"/>
          <w:marTop w:val="0"/>
          <w:marBottom w:val="0"/>
          <w:divBdr>
            <w:top w:val="none" w:sz="0" w:space="0" w:color="auto"/>
            <w:left w:val="none" w:sz="0" w:space="0" w:color="auto"/>
            <w:bottom w:val="none" w:sz="0" w:space="0" w:color="auto"/>
            <w:right w:val="none" w:sz="0" w:space="0" w:color="auto"/>
          </w:divBdr>
        </w:div>
        <w:div w:id="489097714">
          <w:marLeft w:val="0"/>
          <w:marRight w:val="0"/>
          <w:marTop w:val="0"/>
          <w:marBottom w:val="0"/>
          <w:divBdr>
            <w:top w:val="none" w:sz="0" w:space="0" w:color="auto"/>
            <w:left w:val="none" w:sz="0" w:space="0" w:color="auto"/>
            <w:bottom w:val="none" w:sz="0" w:space="0" w:color="auto"/>
            <w:right w:val="none" w:sz="0" w:space="0" w:color="auto"/>
          </w:divBdr>
        </w:div>
        <w:div w:id="535578170">
          <w:marLeft w:val="0"/>
          <w:marRight w:val="0"/>
          <w:marTop w:val="0"/>
          <w:marBottom w:val="0"/>
          <w:divBdr>
            <w:top w:val="none" w:sz="0" w:space="0" w:color="auto"/>
            <w:left w:val="none" w:sz="0" w:space="0" w:color="auto"/>
            <w:bottom w:val="none" w:sz="0" w:space="0" w:color="auto"/>
            <w:right w:val="none" w:sz="0" w:space="0" w:color="auto"/>
          </w:divBdr>
        </w:div>
        <w:div w:id="1167014926">
          <w:marLeft w:val="0"/>
          <w:marRight w:val="0"/>
          <w:marTop w:val="0"/>
          <w:marBottom w:val="0"/>
          <w:divBdr>
            <w:top w:val="none" w:sz="0" w:space="0" w:color="auto"/>
            <w:left w:val="none" w:sz="0" w:space="0" w:color="auto"/>
            <w:bottom w:val="none" w:sz="0" w:space="0" w:color="auto"/>
            <w:right w:val="none" w:sz="0" w:space="0" w:color="auto"/>
          </w:divBdr>
        </w:div>
        <w:div w:id="2063751571">
          <w:marLeft w:val="0"/>
          <w:marRight w:val="0"/>
          <w:marTop w:val="0"/>
          <w:marBottom w:val="0"/>
          <w:divBdr>
            <w:top w:val="none" w:sz="0" w:space="0" w:color="auto"/>
            <w:left w:val="none" w:sz="0" w:space="0" w:color="auto"/>
            <w:bottom w:val="none" w:sz="0" w:space="0" w:color="auto"/>
            <w:right w:val="none" w:sz="0" w:space="0" w:color="auto"/>
          </w:divBdr>
        </w:div>
        <w:div w:id="2061593180">
          <w:marLeft w:val="0"/>
          <w:marRight w:val="0"/>
          <w:marTop w:val="0"/>
          <w:marBottom w:val="0"/>
          <w:divBdr>
            <w:top w:val="none" w:sz="0" w:space="0" w:color="auto"/>
            <w:left w:val="none" w:sz="0" w:space="0" w:color="auto"/>
            <w:bottom w:val="none" w:sz="0" w:space="0" w:color="auto"/>
            <w:right w:val="none" w:sz="0" w:space="0" w:color="auto"/>
          </w:divBdr>
        </w:div>
        <w:div w:id="76832671">
          <w:marLeft w:val="0"/>
          <w:marRight w:val="0"/>
          <w:marTop w:val="0"/>
          <w:marBottom w:val="0"/>
          <w:divBdr>
            <w:top w:val="none" w:sz="0" w:space="0" w:color="auto"/>
            <w:left w:val="none" w:sz="0" w:space="0" w:color="auto"/>
            <w:bottom w:val="none" w:sz="0" w:space="0" w:color="auto"/>
            <w:right w:val="none" w:sz="0" w:space="0" w:color="auto"/>
          </w:divBdr>
        </w:div>
        <w:div w:id="2103141502">
          <w:marLeft w:val="0"/>
          <w:marRight w:val="0"/>
          <w:marTop w:val="0"/>
          <w:marBottom w:val="0"/>
          <w:divBdr>
            <w:top w:val="none" w:sz="0" w:space="0" w:color="auto"/>
            <w:left w:val="none" w:sz="0" w:space="0" w:color="auto"/>
            <w:bottom w:val="none" w:sz="0" w:space="0" w:color="auto"/>
            <w:right w:val="none" w:sz="0" w:space="0" w:color="auto"/>
          </w:divBdr>
        </w:div>
        <w:div w:id="1217660576">
          <w:marLeft w:val="0"/>
          <w:marRight w:val="0"/>
          <w:marTop w:val="0"/>
          <w:marBottom w:val="0"/>
          <w:divBdr>
            <w:top w:val="none" w:sz="0" w:space="0" w:color="auto"/>
            <w:left w:val="none" w:sz="0" w:space="0" w:color="auto"/>
            <w:bottom w:val="none" w:sz="0" w:space="0" w:color="auto"/>
            <w:right w:val="none" w:sz="0" w:space="0" w:color="auto"/>
          </w:divBdr>
        </w:div>
        <w:div w:id="617218752">
          <w:marLeft w:val="0"/>
          <w:marRight w:val="0"/>
          <w:marTop w:val="0"/>
          <w:marBottom w:val="0"/>
          <w:divBdr>
            <w:top w:val="none" w:sz="0" w:space="0" w:color="auto"/>
            <w:left w:val="none" w:sz="0" w:space="0" w:color="auto"/>
            <w:bottom w:val="none" w:sz="0" w:space="0" w:color="auto"/>
            <w:right w:val="none" w:sz="0" w:space="0" w:color="auto"/>
          </w:divBdr>
        </w:div>
        <w:div w:id="2105611193">
          <w:marLeft w:val="0"/>
          <w:marRight w:val="0"/>
          <w:marTop w:val="0"/>
          <w:marBottom w:val="0"/>
          <w:divBdr>
            <w:top w:val="none" w:sz="0" w:space="0" w:color="auto"/>
            <w:left w:val="none" w:sz="0" w:space="0" w:color="auto"/>
            <w:bottom w:val="none" w:sz="0" w:space="0" w:color="auto"/>
            <w:right w:val="none" w:sz="0" w:space="0" w:color="auto"/>
          </w:divBdr>
        </w:div>
        <w:div w:id="628557232">
          <w:marLeft w:val="0"/>
          <w:marRight w:val="0"/>
          <w:marTop w:val="0"/>
          <w:marBottom w:val="0"/>
          <w:divBdr>
            <w:top w:val="none" w:sz="0" w:space="0" w:color="auto"/>
            <w:left w:val="none" w:sz="0" w:space="0" w:color="auto"/>
            <w:bottom w:val="none" w:sz="0" w:space="0" w:color="auto"/>
            <w:right w:val="none" w:sz="0" w:space="0" w:color="auto"/>
          </w:divBdr>
        </w:div>
        <w:div w:id="665321564">
          <w:marLeft w:val="0"/>
          <w:marRight w:val="0"/>
          <w:marTop w:val="0"/>
          <w:marBottom w:val="0"/>
          <w:divBdr>
            <w:top w:val="none" w:sz="0" w:space="0" w:color="auto"/>
            <w:left w:val="none" w:sz="0" w:space="0" w:color="auto"/>
            <w:bottom w:val="none" w:sz="0" w:space="0" w:color="auto"/>
            <w:right w:val="none" w:sz="0" w:space="0" w:color="auto"/>
          </w:divBdr>
        </w:div>
        <w:div w:id="1684280561">
          <w:marLeft w:val="0"/>
          <w:marRight w:val="0"/>
          <w:marTop w:val="0"/>
          <w:marBottom w:val="0"/>
          <w:divBdr>
            <w:top w:val="none" w:sz="0" w:space="0" w:color="auto"/>
            <w:left w:val="none" w:sz="0" w:space="0" w:color="auto"/>
            <w:bottom w:val="none" w:sz="0" w:space="0" w:color="auto"/>
            <w:right w:val="none" w:sz="0" w:space="0" w:color="auto"/>
          </w:divBdr>
        </w:div>
        <w:div w:id="1600601623">
          <w:marLeft w:val="0"/>
          <w:marRight w:val="0"/>
          <w:marTop w:val="0"/>
          <w:marBottom w:val="0"/>
          <w:divBdr>
            <w:top w:val="none" w:sz="0" w:space="0" w:color="auto"/>
            <w:left w:val="none" w:sz="0" w:space="0" w:color="auto"/>
            <w:bottom w:val="none" w:sz="0" w:space="0" w:color="auto"/>
            <w:right w:val="none" w:sz="0" w:space="0" w:color="auto"/>
          </w:divBdr>
        </w:div>
        <w:div w:id="480268022">
          <w:marLeft w:val="0"/>
          <w:marRight w:val="0"/>
          <w:marTop w:val="0"/>
          <w:marBottom w:val="0"/>
          <w:divBdr>
            <w:top w:val="none" w:sz="0" w:space="0" w:color="auto"/>
            <w:left w:val="none" w:sz="0" w:space="0" w:color="auto"/>
            <w:bottom w:val="none" w:sz="0" w:space="0" w:color="auto"/>
            <w:right w:val="none" w:sz="0" w:space="0" w:color="auto"/>
          </w:divBdr>
        </w:div>
        <w:div w:id="1568955587">
          <w:marLeft w:val="0"/>
          <w:marRight w:val="0"/>
          <w:marTop w:val="0"/>
          <w:marBottom w:val="0"/>
          <w:divBdr>
            <w:top w:val="none" w:sz="0" w:space="0" w:color="auto"/>
            <w:left w:val="none" w:sz="0" w:space="0" w:color="auto"/>
            <w:bottom w:val="none" w:sz="0" w:space="0" w:color="auto"/>
            <w:right w:val="none" w:sz="0" w:space="0" w:color="auto"/>
          </w:divBdr>
        </w:div>
        <w:div w:id="1037970776">
          <w:marLeft w:val="0"/>
          <w:marRight w:val="0"/>
          <w:marTop w:val="0"/>
          <w:marBottom w:val="0"/>
          <w:divBdr>
            <w:top w:val="none" w:sz="0" w:space="0" w:color="auto"/>
            <w:left w:val="none" w:sz="0" w:space="0" w:color="auto"/>
            <w:bottom w:val="none" w:sz="0" w:space="0" w:color="auto"/>
            <w:right w:val="none" w:sz="0" w:space="0" w:color="auto"/>
          </w:divBdr>
        </w:div>
        <w:div w:id="784345036">
          <w:marLeft w:val="0"/>
          <w:marRight w:val="0"/>
          <w:marTop w:val="0"/>
          <w:marBottom w:val="0"/>
          <w:divBdr>
            <w:top w:val="none" w:sz="0" w:space="0" w:color="auto"/>
            <w:left w:val="none" w:sz="0" w:space="0" w:color="auto"/>
            <w:bottom w:val="none" w:sz="0" w:space="0" w:color="auto"/>
            <w:right w:val="none" w:sz="0" w:space="0" w:color="auto"/>
          </w:divBdr>
        </w:div>
      </w:divsChild>
    </w:div>
    <w:div w:id="1188788564">
      <w:bodyDiv w:val="1"/>
      <w:marLeft w:val="0"/>
      <w:marRight w:val="0"/>
      <w:marTop w:val="0"/>
      <w:marBottom w:val="0"/>
      <w:divBdr>
        <w:top w:val="none" w:sz="0" w:space="0" w:color="auto"/>
        <w:left w:val="none" w:sz="0" w:space="0" w:color="auto"/>
        <w:bottom w:val="none" w:sz="0" w:space="0" w:color="auto"/>
        <w:right w:val="none" w:sz="0" w:space="0" w:color="auto"/>
      </w:divBdr>
    </w:div>
    <w:div w:id="1334525340">
      <w:bodyDiv w:val="1"/>
      <w:marLeft w:val="0"/>
      <w:marRight w:val="0"/>
      <w:marTop w:val="0"/>
      <w:marBottom w:val="0"/>
      <w:divBdr>
        <w:top w:val="none" w:sz="0" w:space="0" w:color="auto"/>
        <w:left w:val="none" w:sz="0" w:space="0" w:color="auto"/>
        <w:bottom w:val="none" w:sz="0" w:space="0" w:color="auto"/>
        <w:right w:val="none" w:sz="0" w:space="0" w:color="auto"/>
      </w:divBdr>
    </w:div>
    <w:div w:id="1489512450">
      <w:bodyDiv w:val="1"/>
      <w:marLeft w:val="0"/>
      <w:marRight w:val="0"/>
      <w:marTop w:val="0"/>
      <w:marBottom w:val="0"/>
      <w:divBdr>
        <w:top w:val="none" w:sz="0" w:space="0" w:color="auto"/>
        <w:left w:val="none" w:sz="0" w:space="0" w:color="auto"/>
        <w:bottom w:val="none" w:sz="0" w:space="0" w:color="auto"/>
        <w:right w:val="none" w:sz="0" w:space="0" w:color="auto"/>
      </w:divBdr>
    </w:div>
    <w:div w:id="15684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8892E-836E-4159-B641-37534EFF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Kenton School</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Taylor, Gemma</cp:lastModifiedBy>
  <cp:revision>4</cp:revision>
  <cp:lastPrinted>2020-09-17T09:43:00Z</cp:lastPrinted>
  <dcterms:created xsi:type="dcterms:W3CDTF">2020-09-17T09:42:00Z</dcterms:created>
  <dcterms:modified xsi:type="dcterms:W3CDTF">2020-09-17T09:55:00Z</dcterms:modified>
</cp:coreProperties>
</file>